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6A" w:rsidRPr="002433AE" w:rsidRDefault="000115AD" w:rsidP="00191E81">
      <w:pPr>
        <w:ind w:left="284"/>
        <w:rPr>
          <w:bCs/>
          <w:i/>
          <w:color w:val="161515"/>
          <w:sz w:val="22"/>
          <w:szCs w:val="22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-532765</wp:posOffset>
            </wp:positionV>
            <wp:extent cx="6467475" cy="17614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76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C6A" w:rsidRPr="002433AE" w:rsidRDefault="00832C6A" w:rsidP="00191E81">
      <w:pPr>
        <w:ind w:left="284"/>
        <w:rPr>
          <w:bCs/>
          <w:i/>
          <w:color w:val="161515"/>
          <w:sz w:val="22"/>
          <w:szCs w:val="22"/>
          <w:lang w:val="uk-UA"/>
        </w:rPr>
      </w:pPr>
    </w:p>
    <w:p w:rsidR="00832C6A" w:rsidRPr="002433AE" w:rsidRDefault="00832C6A" w:rsidP="00191E81">
      <w:pPr>
        <w:ind w:left="284"/>
        <w:rPr>
          <w:bCs/>
          <w:i/>
          <w:color w:val="161515"/>
          <w:sz w:val="22"/>
          <w:szCs w:val="22"/>
          <w:lang w:val="uk-UA"/>
        </w:rPr>
      </w:pPr>
    </w:p>
    <w:p w:rsidR="00832C6A" w:rsidRPr="002433AE" w:rsidRDefault="00832C6A" w:rsidP="00191E81">
      <w:pPr>
        <w:ind w:left="284"/>
        <w:rPr>
          <w:bCs/>
          <w:i/>
          <w:color w:val="161515"/>
          <w:sz w:val="22"/>
          <w:szCs w:val="22"/>
          <w:lang w:val="uk-UA"/>
        </w:rPr>
      </w:pPr>
    </w:p>
    <w:p w:rsidR="00832C6A" w:rsidRPr="002433AE" w:rsidRDefault="00832C6A" w:rsidP="00191E81">
      <w:pPr>
        <w:ind w:left="284"/>
        <w:rPr>
          <w:bCs/>
          <w:i/>
          <w:color w:val="161515"/>
          <w:sz w:val="22"/>
          <w:szCs w:val="22"/>
          <w:lang w:val="uk-UA"/>
        </w:rPr>
      </w:pPr>
    </w:p>
    <w:p w:rsidR="00832C6A" w:rsidRPr="002433AE" w:rsidRDefault="00832C6A" w:rsidP="00191E81">
      <w:pPr>
        <w:ind w:left="284"/>
        <w:rPr>
          <w:bCs/>
          <w:i/>
          <w:color w:val="161515"/>
          <w:sz w:val="22"/>
          <w:szCs w:val="22"/>
          <w:lang w:val="uk-UA"/>
        </w:rPr>
      </w:pPr>
    </w:p>
    <w:p w:rsidR="00832C6A" w:rsidRPr="002433AE" w:rsidRDefault="00832C6A" w:rsidP="00191E81">
      <w:pPr>
        <w:ind w:left="284"/>
        <w:rPr>
          <w:bCs/>
          <w:i/>
          <w:color w:val="161515"/>
          <w:sz w:val="22"/>
          <w:szCs w:val="22"/>
          <w:lang w:val="uk-UA"/>
        </w:rPr>
      </w:pPr>
    </w:p>
    <w:p w:rsidR="00832C6A" w:rsidRPr="002433AE" w:rsidRDefault="00832C6A" w:rsidP="00191E81">
      <w:pPr>
        <w:ind w:left="284"/>
        <w:rPr>
          <w:bCs/>
          <w:i/>
          <w:color w:val="161515"/>
          <w:sz w:val="22"/>
          <w:szCs w:val="22"/>
          <w:lang w:val="uk-UA"/>
        </w:rPr>
      </w:pPr>
    </w:p>
    <w:p w:rsidR="00832C6A" w:rsidRPr="00F87E17" w:rsidRDefault="00832C6A" w:rsidP="00066313">
      <w:pPr>
        <w:autoSpaceDE w:val="0"/>
        <w:autoSpaceDN w:val="0"/>
        <w:adjustRightInd w:val="0"/>
        <w:ind w:right="708" w:firstLine="708"/>
        <w:jc w:val="center"/>
        <w:rPr>
          <w:b/>
          <w:sz w:val="22"/>
          <w:szCs w:val="22"/>
          <w:lang w:val="uk-UA"/>
        </w:rPr>
      </w:pPr>
      <w:r w:rsidRPr="00F87E17">
        <w:rPr>
          <w:b/>
          <w:sz w:val="22"/>
          <w:szCs w:val="22"/>
          <w:lang w:val="uk-UA"/>
        </w:rPr>
        <w:t>Специфікація на надання послуг з  матеріально - технічного супроводу заходів</w:t>
      </w:r>
    </w:p>
    <w:p w:rsidR="00832C6A" w:rsidRPr="00F87E17" w:rsidRDefault="00832C6A" w:rsidP="00066313">
      <w:pPr>
        <w:autoSpaceDE w:val="0"/>
        <w:autoSpaceDN w:val="0"/>
        <w:adjustRightInd w:val="0"/>
        <w:ind w:right="708"/>
        <w:jc w:val="center"/>
        <w:rPr>
          <w:rFonts w:ascii="Arial" w:hAnsi="Arial" w:cs="Arial"/>
          <w:b/>
          <w:sz w:val="22"/>
          <w:szCs w:val="22"/>
          <w:lang w:val="uk-UA"/>
        </w:rPr>
      </w:pPr>
    </w:p>
    <w:p w:rsidR="00832C6A" w:rsidRPr="00F87E17" w:rsidRDefault="00832C6A" w:rsidP="000D7DF1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lang w:val="uk-UA"/>
        </w:rPr>
      </w:pPr>
      <w:r w:rsidRPr="00F87E17">
        <w:rPr>
          <w:rFonts w:ascii="Times New Roman" w:hAnsi="Times New Roman"/>
          <w:b/>
          <w:lang w:val="uk-UA"/>
        </w:rPr>
        <w:t>Інформація про організацію, що здійснює закупівлю</w:t>
      </w:r>
    </w:p>
    <w:p w:rsidR="00832C6A" w:rsidRPr="00F87E17" w:rsidRDefault="00832C6A" w:rsidP="00066313">
      <w:pPr>
        <w:pStyle w:val="a5"/>
        <w:ind w:left="1429"/>
        <w:jc w:val="both"/>
        <w:rPr>
          <w:lang w:val="uk-UA"/>
        </w:rPr>
      </w:pPr>
    </w:p>
    <w:p w:rsidR="00832C6A" w:rsidRPr="00F87E17" w:rsidRDefault="00832C6A" w:rsidP="00066313">
      <w:pPr>
        <w:autoSpaceDE w:val="0"/>
        <w:autoSpaceDN w:val="0"/>
        <w:adjustRightInd w:val="0"/>
        <w:ind w:left="567" w:firstLine="567"/>
        <w:jc w:val="both"/>
        <w:rPr>
          <w:sz w:val="22"/>
          <w:szCs w:val="22"/>
        </w:rPr>
      </w:pPr>
      <w:r w:rsidRPr="00F87E17">
        <w:rPr>
          <w:sz w:val="22"/>
          <w:szCs w:val="22"/>
          <w:lang w:val="uk-UA"/>
        </w:rPr>
        <w:t xml:space="preserve">Громадська організація «Детектор медіа» (далі – ГО «Детектор медіа» або «Організація») є неурядовою організацією, що діє в рамках Закону України «Про громадські об’єднання». Організація є правонаступницею ГО «Телекритика», яка працює з 2004 року. Команда Організації послідовно сприяє дотриманню журналістських стандартів в українських ЗМІ, вдосконаленню національного законодавства у сфері інформації, підвищенню професійного рівня журналістів, формуванню демократичної культури медіа споживання серед українських громадян. </w:t>
      </w:r>
      <w:r w:rsidRPr="00F87E17">
        <w:rPr>
          <w:sz w:val="22"/>
          <w:szCs w:val="22"/>
        </w:rPr>
        <w:t xml:space="preserve">ГО «Детектор медіа» має групу власних інтернет-видань, </w:t>
      </w:r>
      <w:r w:rsidRPr="00F87E17">
        <w:rPr>
          <w:sz w:val="22"/>
          <w:szCs w:val="22"/>
          <w:lang w:val="uk-UA"/>
        </w:rPr>
        <w:t xml:space="preserve">зокрема </w:t>
      </w:r>
      <w:r w:rsidRPr="00F87E17">
        <w:rPr>
          <w:sz w:val="22"/>
          <w:szCs w:val="22"/>
        </w:rPr>
        <w:t>сайт </w:t>
      </w:r>
      <w:r w:rsidRPr="00F87E17">
        <w:rPr>
          <w:rStyle w:val="a3"/>
          <w:sz w:val="22"/>
          <w:szCs w:val="22"/>
          <w:lang w:val="uk-UA"/>
        </w:rPr>
        <w:t xml:space="preserve"> </w:t>
      </w:r>
      <w:hyperlink r:id="rId8" w:history="1">
        <w:r w:rsidRPr="00F87E17">
          <w:rPr>
            <w:rStyle w:val="a3"/>
          </w:rPr>
          <w:t>http://detector.media/</w:t>
        </w:r>
      </w:hyperlink>
      <w:r w:rsidRPr="00F87E17">
        <w:rPr>
          <w:sz w:val="22"/>
          <w:szCs w:val="22"/>
        </w:rPr>
        <w:t xml:space="preserve">, виробляє власні інформаційні продукти (фільми, ток-шоу, аналітика, графіка), бере участь у робочих групах та дорадчих структурах при органах влади, проводить моніторинги та дослідження, тренінги та різного роду публічні заходи. </w:t>
      </w:r>
    </w:p>
    <w:p w:rsidR="00832C6A" w:rsidRPr="00F87E17" w:rsidRDefault="00832C6A" w:rsidP="00066313">
      <w:pPr>
        <w:ind w:firstLine="709"/>
        <w:jc w:val="both"/>
        <w:rPr>
          <w:sz w:val="22"/>
          <w:szCs w:val="22"/>
        </w:rPr>
      </w:pPr>
    </w:p>
    <w:p w:rsidR="00832C6A" w:rsidRPr="00F87E17" w:rsidRDefault="00832C6A" w:rsidP="00066313">
      <w:pPr>
        <w:autoSpaceDE w:val="0"/>
        <w:autoSpaceDN w:val="0"/>
        <w:adjustRightInd w:val="0"/>
        <w:ind w:left="567" w:firstLine="567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</w:rPr>
        <w:t xml:space="preserve">Організація долучає кошти ряду міжнародних донорів (таких </w:t>
      </w:r>
      <w:r w:rsidRPr="00F87E17">
        <w:rPr>
          <w:sz w:val="22"/>
          <w:szCs w:val="22"/>
          <w:lang w:val="uk-UA"/>
        </w:rPr>
        <w:t xml:space="preserve">як </w:t>
      </w:r>
      <w:r w:rsidRPr="00F87E17">
        <w:rPr>
          <w:sz w:val="22"/>
          <w:szCs w:val="22"/>
        </w:rPr>
        <w:t>Шведське агентство міжнародного розвитку (SIDA), Данське агентство міжнародного розвитку (</w:t>
      </w:r>
      <w:r w:rsidRPr="00F87E17">
        <w:rPr>
          <w:sz w:val="22"/>
          <w:szCs w:val="22"/>
          <w:lang w:val="en-US"/>
        </w:rPr>
        <w:t>DANIDA</w:t>
      </w:r>
      <w:r w:rsidRPr="00F87E17">
        <w:rPr>
          <w:sz w:val="22"/>
          <w:szCs w:val="22"/>
        </w:rPr>
        <w:t>),  Національний фонд підтримки демократії (NED); Інтерньюс Нетворк</w:t>
      </w:r>
      <w:r w:rsidRPr="00F87E17">
        <w:rPr>
          <w:sz w:val="22"/>
          <w:szCs w:val="22"/>
          <w:lang w:val="uk-UA"/>
        </w:rPr>
        <w:t xml:space="preserve">; </w:t>
      </w:r>
      <w:r w:rsidRPr="00F87E17">
        <w:rPr>
          <w:sz w:val="22"/>
          <w:szCs w:val="22"/>
        </w:rPr>
        <w:t>та інші)</w:t>
      </w:r>
      <w:r w:rsidRPr="00F87E17">
        <w:rPr>
          <w:sz w:val="22"/>
          <w:szCs w:val="22"/>
          <w:lang w:val="uk-UA"/>
        </w:rPr>
        <w:t xml:space="preserve"> та в своїй роботі тісно працює з українськими засобами масової інформац</w:t>
      </w:r>
      <w:r w:rsidR="00B67DF1" w:rsidRPr="00F87E17">
        <w:rPr>
          <w:sz w:val="22"/>
          <w:szCs w:val="22"/>
          <w:lang w:val="uk-UA"/>
        </w:rPr>
        <w:t>ії, громадськими організаціями</w:t>
      </w:r>
      <w:r w:rsidRPr="00F87E17">
        <w:rPr>
          <w:sz w:val="22"/>
          <w:szCs w:val="22"/>
          <w:lang w:val="uk-UA"/>
        </w:rPr>
        <w:t>, Держкомтелерадіо, Національна рада з питань телебачення та радіомовлення, Рада з питань національної безпеки та оборони та інші), а також широким колом закордонних партнерів.</w:t>
      </w:r>
    </w:p>
    <w:p w:rsidR="00832C6A" w:rsidRPr="00F87E17" w:rsidRDefault="00832C6A" w:rsidP="00066313">
      <w:pPr>
        <w:autoSpaceDE w:val="0"/>
        <w:autoSpaceDN w:val="0"/>
        <w:adjustRightInd w:val="0"/>
        <w:ind w:left="567" w:firstLine="567"/>
        <w:jc w:val="both"/>
        <w:rPr>
          <w:lang w:val="uk-UA"/>
        </w:rPr>
      </w:pPr>
    </w:p>
    <w:p w:rsidR="00832C6A" w:rsidRPr="00F87E17" w:rsidRDefault="00832C6A" w:rsidP="00066313">
      <w:pPr>
        <w:ind w:firstLine="709"/>
        <w:jc w:val="both"/>
        <w:rPr>
          <w:sz w:val="22"/>
          <w:szCs w:val="22"/>
          <w:lang w:val="uk-UA"/>
        </w:rPr>
      </w:pPr>
    </w:p>
    <w:p w:rsidR="00832C6A" w:rsidRPr="00F87E17" w:rsidRDefault="00832C6A" w:rsidP="000D7DF1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lang w:val="uk-UA"/>
        </w:rPr>
      </w:pPr>
      <w:r w:rsidRPr="00F87E17">
        <w:rPr>
          <w:rFonts w:ascii="Times New Roman" w:hAnsi="Times New Roman"/>
          <w:b/>
          <w:lang w:val="uk-UA"/>
        </w:rPr>
        <w:t>Інформація про послугу</w:t>
      </w:r>
    </w:p>
    <w:p w:rsidR="00832C6A" w:rsidRPr="00F87E17" w:rsidRDefault="00832C6A" w:rsidP="00066313">
      <w:pPr>
        <w:pStyle w:val="a5"/>
        <w:ind w:left="1429"/>
        <w:jc w:val="both"/>
        <w:rPr>
          <w:rFonts w:ascii="Times New Roman" w:hAnsi="Times New Roman"/>
          <w:b/>
          <w:lang w:val="uk-UA"/>
        </w:rPr>
      </w:pP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</w:rPr>
      </w:pPr>
      <w:r w:rsidRPr="00F87E17">
        <w:rPr>
          <w:rFonts w:ascii="Times New Roman" w:hAnsi="Times New Roman"/>
          <w:lang w:val="uk-UA"/>
        </w:rPr>
        <w:t xml:space="preserve">Очікувана тривалість надання послуги — </w:t>
      </w:r>
      <w:r w:rsidRPr="00F87E17">
        <w:rPr>
          <w:rFonts w:ascii="Times New Roman" w:hAnsi="Times New Roman"/>
        </w:rPr>
        <w:t xml:space="preserve">1 </w:t>
      </w:r>
      <w:r w:rsidRPr="00F87E17">
        <w:rPr>
          <w:rFonts w:ascii="Times New Roman" w:hAnsi="Times New Roman"/>
          <w:lang w:val="uk-UA"/>
        </w:rPr>
        <w:t>календарний рік з можливістю пролонгації. За</w:t>
      </w:r>
      <w:r w:rsidRPr="00F87E17">
        <w:rPr>
          <w:rFonts w:ascii="Times New Roman" w:hAnsi="Times New Roman"/>
        </w:rPr>
        <w:t xml:space="preserve"> результатами тендеру буде </w:t>
      </w:r>
      <w:r w:rsidRPr="00F87E17">
        <w:rPr>
          <w:rFonts w:ascii="Times New Roman" w:hAnsi="Times New Roman"/>
          <w:b/>
          <w:lang w:val="uk-UA"/>
        </w:rPr>
        <w:t>відібрано</w:t>
      </w:r>
      <w:r w:rsidRPr="00F87E17">
        <w:rPr>
          <w:rFonts w:ascii="Times New Roman" w:hAnsi="Times New Roman"/>
          <w:b/>
        </w:rPr>
        <w:t xml:space="preserve"> </w:t>
      </w:r>
      <w:r w:rsidR="0017080E" w:rsidRPr="00F87E17">
        <w:rPr>
          <w:rFonts w:ascii="Times New Roman" w:hAnsi="Times New Roman"/>
          <w:b/>
          <w:lang w:val="uk-UA"/>
        </w:rPr>
        <w:t>3</w:t>
      </w:r>
      <w:r w:rsidRPr="00F87E17">
        <w:rPr>
          <w:rFonts w:ascii="Times New Roman" w:hAnsi="Times New Roman"/>
          <w:b/>
          <w:lang w:val="uk-UA"/>
        </w:rPr>
        <w:t xml:space="preserve"> постачальники, </w:t>
      </w:r>
      <w:r w:rsidRPr="00F87E17">
        <w:rPr>
          <w:rFonts w:ascii="Times New Roman" w:hAnsi="Times New Roman"/>
        </w:rPr>
        <w:t xml:space="preserve">замовлення послуг яких буде здійснюватися шляхом ротації. </w:t>
      </w:r>
    </w:p>
    <w:p w:rsidR="00832C6A" w:rsidRPr="00F87E17" w:rsidRDefault="00832C6A" w:rsidP="003E530B">
      <w:pPr>
        <w:pStyle w:val="a5"/>
        <w:ind w:left="1276"/>
        <w:jc w:val="both"/>
        <w:rPr>
          <w:rFonts w:ascii="Times New Roman" w:hAnsi="Times New Roman"/>
        </w:rPr>
      </w:pP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Надання послуг з матеріально-технічного супроводу заходів за безготівковим розрахунком, що проводяться Організатором, включає наступні обов’язкові етапи:</w:t>
      </w:r>
    </w:p>
    <w:p w:rsidR="00832C6A" w:rsidRPr="00F87E17" w:rsidRDefault="00832C6A" w:rsidP="006E5073">
      <w:pPr>
        <w:ind w:left="850" w:right="708"/>
        <w:jc w:val="both"/>
        <w:rPr>
          <w:sz w:val="22"/>
          <w:szCs w:val="22"/>
          <w:lang w:val="uk-UA"/>
        </w:rPr>
      </w:pPr>
    </w:p>
    <w:p w:rsidR="0017080E" w:rsidRPr="00F87E17" w:rsidRDefault="0017080E" w:rsidP="000D7DF1">
      <w:pPr>
        <w:numPr>
          <w:ilvl w:val="0"/>
          <w:numId w:val="4"/>
        </w:numPr>
        <w:ind w:left="1636"/>
        <w:jc w:val="both"/>
        <w:rPr>
          <w:i/>
          <w:sz w:val="22"/>
          <w:szCs w:val="22"/>
          <w:lang w:val="uk-UA"/>
        </w:rPr>
      </w:pPr>
      <w:r w:rsidRPr="00F87E17">
        <w:rPr>
          <w:b/>
          <w:i/>
          <w:sz w:val="22"/>
          <w:szCs w:val="22"/>
          <w:lang w:val="uk-UA"/>
        </w:rPr>
        <w:t xml:space="preserve">організація подій в </w:t>
      </w:r>
      <w:r w:rsidRPr="00F87E17">
        <w:rPr>
          <w:b/>
          <w:i/>
          <w:sz w:val="22"/>
          <w:szCs w:val="22"/>
          <w:lang w:val="en-US"/>
        </w:rPr>
        <w:t>ZOOM</w:t>
      </w:r>
      <w:r w:rsidRPr="00F87E17">
        <w:rPr>
          <w:b/>
          <w:i/>
          <w:sz w:val="22"/>
          <w:szCs w:val="22"/>
          <w:lang w:val="uk-UA"/>
        </w:rPr>
        <w:t xml:space="preserve"> під час всеукраїнського карантину</w:t>
      </w:r>
      <w:r w:rsidRPr="00F87E17">
        <w:rPr>
          <w:i/>
          <w:sz w:val="22"/>
          <w:szCs w:val="22"/>
          <w:lang w:val="uk-UA"/>
        </w:rPr>
        <w:t xml:space="preserve"> пов’язаного з пандемією спричиненою </w:t>
      </w:r>
      <w:r w:rsidRPr="00F87E17">
        <w:rPr>
          <w:i/>
          <w:sz w:val="22"/>
          <w:szCs w:val="22"/>
          <w:lang w:val="en-US"/>
        </w:rPr>
        <w:t>COVID</w:t>
      </w:r>
      <w:r w:rsidRPr="00F87E17">
        <w:rPr>
          <w:i/>
          <w:sz w:val="22"/>
          <w:szCs w:val="22"/>
        </w:rPr>
        <w:t>-19</w:t>
      </w:r>
      <w:r w:rsidRPr="00F87E17">
        <w:rPr>
          <w:i/>
          <w:sz w:val="22"/>
          <w:szCs w:val="22"/>
          <w:lang w:val="uk-UA"/>
        </w:rPr>
        <w:t>;</w:t>
      </w:r>
    </w:p>
    <w:p w:rsidR="0017080E" w:rsidRPr="00F87E17" w:rsidRDefault="0017080E" w:rsidP="0017080E">
      <w:pPr>
        <w:ind w:left="1636"/>
        <w:jc w:val="both"/>
        <w:rPr>
          <w:i/>
          <w:sz w:val="22"/>
          <w:szCs w:val="22"/>
          <w:lang w:val="uk-UA"/>
        </w:rPr>
      </w:pPr>
    </w:p>
    <w:p w:rsidR="0017080E" w:rsidRPr="00F87E17" w:rsidRDefault="0017080E" w:rsidP="000D7DF1">
      <w:pPr>
        <w:numPr>
          <w:ilvl w:val="0"/>
          <w:numId w:val="4"/>
        </w:numPr>
        <w:ind w:left="1636"/>
        <w:jc w:val="both"/>
        <w:rPr>
          <w:i/>
          <w:sz w:val="22"/>
          <w:szCs w:val="22"/>
          <w:lang w:val="uk-UA"/>
        </w:rPr>
      </w:pPr>
      <w:r w:rsidRPr="00F87E17">
        <w:rPr>
          <w:b/>
          <w:i/>
          <w:sz w:val="22"/>
          <w:szCs w:val="22"/>
          <w:lang w:val="uk-UA"/>
        </w:rPr>
        <w:t>розрахунки з лекторами та учасниками подій</w:t>
      </w:r>
      <w:r w:rsidRPr="00F87E17">
        <w:rPr>
          <w:i/>
          <w:sz w:val="22"/>
          <w:szCs w:val="22"/>
          <w:lang w:val="uk-UA"/>
        </w:rPr>
        <w:t xml:space="preserve"> (виплати гонорарів фізичним особам та ФОП) відповідно до сформованих бюджетів замовника;</w:t>
      </w:r>
    </w:p>
    <w:p w:rsidR="0017080E" w:rsidRPr="00F87E17" w:rsidRDefault="0017080E" w:rsidP="0017080E">
      <w:pPr>
        <w:ind w:left="1636"/>
        <w:jc w:val="both"/>
        <w:rPr>
          <w:i/>
          <w:sz w:val="22"/>
          <w:szCs w:val="22"/>
          <w:lang w:val="uk-UA"/>
        </w:rPr>
      </w:pPr>
    </w:p>
    <w:p w:rsidR="00832C6A" w:rsidRPr="00F87E17" w:rsidRDefault="0017080E" w:rsidP="000D7DF1">
      <w:pPr>
        <w:pStyle w:val="a5"/>
        <w:numPr>
          <w:ilvl w:val="0"/>
          <w:numId w:val="4"/>
        </w:numPr>
        <w:ind w:left="1560"/>
        <w:jc w:val="both"/>
        <w:rPr>
          <w:i/>
          <w:lang w:val="uk-UA"/>
        </w:rPr>
      </w:pPr>
      <w:r w:rsidRPr="00F87E17">
        <w:rPr>
          <w:b/>
          <w:i/>
          <w:lang w:val="uk-UA"/>
        </w:rPr>
        <w:t>організація та проведення оффлайнових заходів</w:t>
      </w:r>
      <w:r w:rsidRPr="00F87E17">
        <w:rPr>
          <w:i/>
          <w:lang w:val="uk-UA"/>
        </w:rPr>
        <w:t xml:space="preserve">, що включає: </w:t>
      </w:r>
      <w:r w:rsidR="00832C6A" w:rsidRPr="00F87E17">
        <w:rPr>
          <w:i/>
          <w:lang w:val="uk-UA"/>
        </w:rPr>
        <w:t>підбір та підготовк</w:t>
      </w:r>
      <w:r w:rsidRPr="00F87E17">
        <w:rPr>
          <w:i/>
          <w:lang w:val="uk-UA"/>
        </w:rPr>
        <w:t>у</w:t>
      </w:r>
      <w:r w:rsidR="00832C6A" w:rsidRPr="00F87E17">
        <w:rPr>
          <w:i/>
          <w:lang w:val="uk-UA"/>
        </w:rPr>
        <w:t xml:space="preserve"> місця проведення відповідно до потреб замовника. </w:t>
      </w:r>
    </w:p>
    <w:p w:rsidR="00832C6A" w:rsidRPr="00F87E17" w:rsidRDefault="00832C6A" w:rsidP="00AD40ED">
      <w:pPr>
        <w:ind w:left="1502"/>
        <w:jc w:val="both"/>
        <w:rPr>
          <w:i/>
          <w:sz w:val="22"/>
          <w:szCs w:val="22"/>
          <w:lang w:val="uk-UA"/>
        </w:rPr>
      </w:pPr>
    </w:p>
    <w:p w:rsidR="00832C6A" w:rsidRPr="00F87E17" w:rsidRDefault="00832C6A" w:rsidP="000D7DF1">
      <w:pPr>
        <w:pStyle w:val="a5"/>
        <w:numPr>
          <w:ilvl w:val="0"/>
          <w:numId w:val="9"/>
        </w:numPr>
        <w:ind w:left="1701" w:hanging="425"/>
        <w:jc w:val="both"/>
        <w:rPr>
          <w:i/>
          <w:lang w:val="uk-UA"/>
        </w:rPr>
      </w:pPr>
      <w:r w:rsidRPr="00F87E17">
        <w:rPr>
          <w:b/>
          <w:i/>
          <w:lang w:val="uk-UA"/>
        </w:rPr>
        <w:t>запрошення учасників</w:t>
      </w:r>
      <w:r w:rsidRPr="00F87E17">
        <w:rPr>
          <w:i/>
          <w:lang w:val="uk-UA"/>
        </w:rPr>
        <w:t xml:space="preserve"> (телефон/факс/пошта/e-mail); попередній прозвон учасників з метою підтвердження їх присутності.</w:t>
      </w:r>
    </w:p>
    <w:p w:rsidR="00832C6A" w:rsidRPr="00F87E17" w:rsidRDefault="00832C6A" w:rsidP="00AD40ED">
      <w:pPr>
        <w:pStyle w:val="a5"/>
        <w:ind w:left="1996"/>
        <w:rPr>
          <w:rFonts w:ascii="Times New Roman" w:hAnsi="Times New Roman"/>
          <w:i/>
          <w:lang w:val="uk-UA"/>
        </w:rPr>
      </w:pPr>
    </w:p>
    <w:p w:rsidR="00832C6A" w:rsidRPr="00F87E17" w:rsidRDefault="00832C6A" w:rsidP="000D7DF1">
      <w:pPr>
        <w:numPr>
          <w:ilvl w:val="0"/>
          <w:numId w:val="4"/>
        </w:numPr>
        <w:ind w:left="1636"/>
        <w:jc w:val="both"/>
        <w:rPr>
          <w:i/>
          <w:sz w:val="22"/>
          <w:szCs w:val="22"/>
          <w:lang w:val="uk-UA"/>
        </w:rPr>
      </w:pPr>
      <w:r w:rsidRPr="00F87E17">
        <w:rPr>
          <w:b/>
          <w:i/>
          <w:sz w:val="22"/>
          <w:szCs w:val="22"/>
          <w:lang w:val="uk-UA"/>
        </w:rPr>
        <w:t>супровід заходу</w:t>
      </w:r>
      <w:r w:rsidRPr="00F87E17">
        <w:rPr>
          <w:i/>
          <w:sz w:val="22"/>
          <w:szCs w:val="22"/>
          <w:lang w:val="uk-UA"/>
        </w:rPr>
        <w:t xml:space="preserve">: </w:t>
      </w:r>
    </w:p>
    <w:p w:rsidR="00832C6A" w:rsidRPr="00F87E17" w:rsidRDefault="00832C6A" w:rsidP="000D7DF1">
      <w:pPr>
        <w:numPr>
          <w:ilvl w:val="0"/>
          <w:numId w:val="5"/>
        </w:numPr>
        <w:ind w:left="1996"/>
        <w:jc w:val="both"/>
        <w:rPr>
          <w:i/>
          <w:sz w:val="22"/>
          <w:szCs w:val="22"/>
          <w:lang w:val="uk-UA"/>
        </w:rPr>
      </w:pPr>
      <w:r w:rsidRPr="00F87E17">
        <w:rPr>
          <w:i/>
          <w:sz w:val="22"/>
          <w:szCs w:val="22"/>
          <w:lang w:val="uk-UA"/>
        </w:rPr>
        <w:t>перевірка умов проживання в готелі: кондиціювання, опалення, санітарно-гігієнічні умови;</w:t>
      </w:r>
    </w:p>
    <w:p w:rsidR="00832C6A" w:rsidRPr="00F87E17" w:rsidRDefault="00832C6A" w:rsidP="000D7DF1">
      <w:pPr>
        <w:numPr>
          <w:ilvl w:val="0"/>
          <w:numId w:val="5"/>
        </w:numPr>
        <w:ind w:left="1996"/>
        <w:jc w:val="both"/>
        <w:rPr>
          <w:i/>
          <w:sz w:val="22"/>
          <w:szCs w:val="22"/>
          <w:lang w:val="uk-UA"/>
        </w:rPr>
      </w:pPr>
      <w:r w:rsidRPr="00F87E17">
        <w:rPr>
          <w:i/>
          <w:sz w:val="22"/>
          <w:szCs w:val="22"/>
          <w:lang w:val="uk-UA"/>
        </w:rPr>
        <w:t>перевірка придатності конференц-зали до проведення заходу, розстановка стільців/столів та іншого обладнання;</w:t>
      </w:r>
    </w:p>
    <w:p w:rsidR="00832C6A" w:rsidRPr="00F87E17" w:rsidRDefault="00832C6A" w:rsidP="000D7DF1">
      <w:pPr>
        <w:numPr>
          <w:ilvl w:val="0"/>
          <w:numId w:val="5"/>
        </w:numPr>
        <w:ind w:left="1996"/>
        <w:jc w:val="both"/>
        <w:rPr>
          <w:i/>
          <w:sz w:val="22"/>
          <w:szCs w:val="22"/>
          <w:lang w:val="uk-UA"/>
        </w:rPr>
      </w:pPr>
      <w:r w:rsidRPr="00F87E17">
        <w:rPr>
          <w:i/>
          <w:sz w:val="22"/>
          <w:szCs w:val="22"/>
          <w:lang w:val="uk-UA"/>
        </w:rPr>
        <w:t>поселення учасників відповідно до запланованого графіку заїзду;</w:t>
      </w:r>
    </w:p>
    <w:p w:rsidR="00832C6A" w:rsidRPr="00F87E17" w:rsidRDefault="00832C6A" w:rsidP="000D7DF1">
      <w:pPr>
        <w:numPr>
          <w:ilvl w:val="0"/>
          <w:numId w:val="5"/>
        </w:numPr>
        <w:ind w:left="1996"/>
        <w:jc w:val="both"/>
        <w:rPr>
          <w:i/>
          <w:sz w:val="22"/>
          <w:szCs w:val="22"/>
          <w:lang w:val="uk-UA"/>
        </w:rPr>
      </w:pPr>
      <w:r w:rsidRPr="00F87E17">
        <w:rPr>
          <w:i/>
          <w:sz w:val="22"/>
          <w:szCs w:val="22"/>
          <w:lang w:val="uk-UA"/>
        </w:rPr>
        <w:lastRenderedPageBreak/>
        <w:t>реєстрація учасників;</w:t>
      </w:r>
    </w:p>
    <w:p w:rsidR="00832C6A" w:rsidRPr="00F87E17" w:rsidRDefault="00832C6A" w:rsidP="000D7DF1">
      <w:pPr>
        <w:numPr>
          <w:ilvl w:val="0"/>
          <w:numId w:val="5"/>
        </w:numPr>
        <w:ind w:left="1996"/>
        <w:jc w:val="both"/>
        <w:rPr>
          <w:i/>
          <w:sz w:val="22"/>
          <w:szCs w:val="22"/>
          <w:lang w:val="uk-UA"/>
        </w:rPr>
      </w:pPr>
      <w:r w:rsidRPr="00F87E17">
        <w:rPr>
          <w:i/>
          <w:sz w:val="22"/>
          <w:szCs w:val="22"/>
          <w:lang w:val="uk-UA"/>
        </w:rPr>
        <w:t>коригування харчування учасникам у відповідності змінам  на заході;</w:t>
      </w:r>
    </w:p>
    <w:p w:rsidR="00832C6A" w:rsidRPr="00F87E17" w:rsidRDefault="00832C6A" w:rsidP="000D7DF1">
      <w:pPr>
        <w:numPr>
          <w:ilvl w:val="0"/>
          <w:numId w:val="5"/>
        </w:numPr>
        <w:ind w:left="1996"/>
        <w:jc w:val="both"/>
        <w:rPr>
          <w:i/>
          <w:sz w:val="22"/>
          <w:szCs w:val="22"/>
          <w:lang w:val="uk-UA"/>
        </w:rPr>
      </w:pPr>
      <w:r w:rsidRPr="00F87E17">
        <w:rPr>
          <w:i/>
          <w:sz w:val="22"/>
          <w:szCs w:val="22"/>
          <w:lang w:val="uk-UA"/>
        </w:rPr>
        <w:t>логістика проїзду учасників;</w:t>
      </w:r>
    </w:p>
    <w:p w:rsidR="00832C6A" w:rsidRPr="00F87E17" w:rsidRDefault="00832C6A" w:rsidP="000D36CE">
      <w:pPr>
        <w:ind w:left="1418"/>
        <w:jc w:val="both"/>
        <w:rPr>
          <w:i/>
          <w:sz w:val="22"/>
          <w:szCs w:val="22"/>
          <w:lang w:val="uk-UA"/>
        </w:rPr>
      </w:pPr>
    </w:p>
    <w:p w:rsidR="00832C6A" w:rsidRPr="00F87E17" w:rsidRDefault="00832C6A" w:rsidP="000D36CE">
      <w:pPr>
        <w:ind w:left="1418"/>
        <w:jc w:val="both"/>
        <w:rPr>
          <w:i/>
          <w:sz w:val="22"/>
          <w:szCs w:val="22"/>
          <w:lang w:val="uk-UA"/>
        </w:rPr>
      </w:pPr>
    </w:p>
    <w:p w:rsidR="00832C6A" w:rsidRPr="00F87E17" w:rsidRDefault="00832C6A" w:rsidP="006E5073">
      <w:pPr>
        <w:ind w:left="698"/>
        <w:jc w:val="both"/>
        <w:rPr>
          <w:sz w:val="22"/>
          <w:szCs w:val="22"/>
          <w:lang w:val="uk-UA"/>
        </w:rPr>
      </w:pPr>
    </w:p>
    <w:p w:rsidR="00832C6A" w:rsidRPr="00F87E17" w:rsidRDefault="00832C6A" w:rsidP="000D7DF1">
      <w:pPr>
        <w:numPr>
          <w:ilvl w:val="0"/>
          <w:numId w:val="4"/>
        </w:numPr>
        <w:ind w:left="1776"/>
        <w:jc w:val="both"/>
        <w:rPr>
          <w:b/>
          <w:i/>
          <w:sz w:val="22"/>
          <w:szCs w:val="22"/>
          <w:lang w:val="uk-UA"/>
        </w:rPr>
      </w:pPr>
      <w:r w:rsidRPr="00F87E17">
        <w:rPr>
          <w:b/>
          <w:i/>
          <w:sz w:val="22"/>
          <w:szCs w:val="22"/>
          <w:lang w:val="uk-UA"/>
        </w:rPr>
        <w:t xml:space="preserve">транспортні послуги: </w:t>
      </w:r>
    </w:p>
    <w:p w:rsidR="00832C6A" w:rsidRPr="00F87E17" w:rsidRDefault="00832C6A" w:rsidP="000D7DF1">
      <w:pPr>
        <w:numPr>
          <w:ilvl w:val="0"/>
          <w:numId w:val="6"/>
        </w:numPr>
        <w:ind w:left="2136"/>
        <w:jc w:val="both"/>
        <w:rPr>
          <w:i/>
          <w:sz w:val="22"/>
          <w:szCs w:val="22"/>
          <w:lang w:val="uk-UA"/>
        </w:rPr>
      </w:pPr>
      <w:r w:rsidRPr="00F87E17">
        <w:rPr>
          <w:i/>
          <w:sz w:val="22"/>
          <w:szCs w:val="22"/>
          <w:lang w:val="uk-UA"/>
        </w:rPr>
        <w:t>організація трансферу для учасників заходу з вокзалу/аеропорту до місця проведення заходу (автобус, мікроавтобус, легкове авто);</w:t>
      </w:r>
    </w:p>
    <w:p w:rsidR="00832C6A" w:rsidRPr="00F87E17" w:rsidRDefault="00832C6A" w:rsidP="000D7DF1">
      <w:pPr>
        <w:numPr>
          <w:ilvl w:val="0"/>
          <w:numId w:val="6"/>
        </w:numPr>
        <w:ind w:left="2136"/>
        <w:jc w:val="both"/>
        <w:rPr>
          <w:i/>
          <w:sz w:val="22"/>
          <w:szCs w:val="22"/>
          <w:lang w:val="uk-UA"/>
        </w:rPr>
      </w:pPr>
      <w:r w:rsidRPr="00F87E17">
        <w:rPr>
          <w:i/>
          <w:sz w:val="22"/>
          <w:szCs w:val="22"/>
          <w:lang w:val="uk-UA"/>
        </w:rPr>
        <w:t>транспортне забезпечення;</w:t>
      </w:r>
    </w:p>
    <w:p w:rsidR="00832C6A" w:rsidRPr="00F87E17" w:rsidRDefault="00832C6A" w:rsidP="00AD40ED">
      <w:pPr>
        <w:ind w:left="1776"/>
        <w:jc w:val="both"/>
        <w:rPr>
          <w:i/>
          <w:sz w:val="22"/>
          <w:szCs w:val="22"/>
          <w:lang w:val="uk-UA"/>
        </w:rPr>
      </w:pPr>
    </w:p>
    <w:p w:rsidR="00832C6A" w:rsidRPr="00F87E17" w:rsidRDefault="00832C6A" w:rsidP="000D7DF1">
      <w:pPr>
        <w:numPr>
          <w:ilvl w:val="0"/>
          <w:numId w:val="4"/>
        </w:numPr>
        <w:ind w:left="1776"/>
        <w:jc w:val="both"/>
        <w:rPr>
          <w:i/>
          <w:sz w:val="22"/>
          <w:szCs w:val="22"/>
          <w:lang w:val="uk-UA"/>
        </w:rPr>
      </w:pPr>
      <w:r w:rsidRPr="00F87E17">
        <w:rPr>
          <w:b/>
          <w:i/>
          <w:sz w:val="22"/>
          <w:szCs w:val="22"/>
          <w:lang w:val="uk-UA"/>
        </w:rPr>
        <w:t>матеріальне забезпечення:</w:t>
      </w:r>
      <w:r w:rsidRPr="00F87E17">
        <w:rPr>
          <w:i/>
          <w:sz w:val="22"/>
          <w:szCs w:val="22"/>
          <w:lang w:val="uk-UA"/>
        </w:rPr>
        <w:t xml:space="preserve"> </w:t>
      </w:r>
    </w:p>
    <w:p w:rsidR="00832C6A" w:rsidRPr="00F87E17" w:rsidRDefault="00832C6A" w:rsidP="000D7DF1">
      <w:pPr>
        <w:numPr>
          <w:ilvl w:val="0"/>
          <w:numId w:val="7"/>
        </w:numPr>
        <w:ind w:left="2136"/>
        <w:jc w:val="both"/>
        <w:rPr>
          <w:i/>
          <w:sz w:val="22"/>
          <w:szCs w:val="22"/>
          <w:lang w:val="uk-UA"/>
        </w:rPr>
      </w:pPr>
      <w:r w:rsidRPr="00F87E17">
        <w:rPr>
          <w:i/>
          <w:sz w:val="22"/>
          <w:szCs w:val="22"/>
          <w:lang w:val="uk-UA"/>
        </w:rPr>
        <w:t>підготовка до друку та друк роздаткових матеріалів;</w:t>
      </w:r>
    </w:p>
    <w:p w:rsidR="00832C6A" w:rsidRPr="00F87E17" w:rsidRDefault="00832C6A" w:rsidP="000D7DF1">
      <w:pPr>
        <w:numPr>
          <w:ilvl w:val="0"/>
          <w:numId w:val="7"/>
        </w:numPr>
        <w:ind w:left="2136"/>
        <w:jc w:val="both"/>
        <w:rPr>
          <w:i/>
          <w:sz w:val="22"/>
          <w:szCs w:val="22"/>
          <w:lang w:val="uk-UA"/>
        </w:rPr>
      </w:pPr>
      <w:r w:rsidRPr="00F87E17">
        <w:rPr>
          <w:i/>
          <w:sz w:val="22"/>
          <w:szCs w:val="22"/>
          <w:lang w:val="uk-UA"/>
        </w:rPr>
        <w:t>кейтерінг.</w:t>
      </w:r>
    </w:p>
    <w:p w:rsidR="00832C6A" w:rsidRPr="00F87E17" w:rsidRDefault="00832C6A" w:rsidP="00AD40ED">
      <w:pPr>
        <w:ind w:left="2136"/>
        <w:jc w:val="both"/>
        <w:rPr>
          <w:sz w:val="22"/>
          <w:szCs w:val="22"/>
          <w:lang w:val="uk-UA"/>
        </w:rPr>
      </w:pPr>
    </w:p>
    <w:p w:rsidR="00832C6A" w:rsidRPr="00F87E17" w:rsidRDefault="00832C6A" w:rsidP="000D7DF1">
      <w:pPr>
        <w:numPr>
          <w:ilvl w:val="0"/>
          <w:numId w:val="4"/>
        </w:numPr>
        <w:ind w:left="1776"/>
        <w:jc w:val="both"/>
        <w:rPr>
          <w:i/>
          <w:sz w:val="22"/>
          <w:szCs w:val="22"/>
          <w:lang w:val="uk-UA"/>
        </w:rPr>
      </w:pPr>
      <w:r w:rsidRPr="00F87E17">
        <w:rPr>
          <w:b/>
          <w:i/>
          <w:sz w:val="22"/>
          <w:szCs w:val="22"/>
          <w:lang w:val="uk-UA"/>
        </w:rPr>
        <w:t>замовлення інших додаткових послуг для заходу</w:t>
      </w:r>
      <w:r w:rsidRPr="00F87E17">
        <w:rPr>
          <w:i/>
          <w:sz w:val="22"/>
          <w:szCs w:val="22"/>
          <w:lang w:val="uk-UA"/>
        </w:rPr>
        <w:t>.</w:t>
      </w:r>
    </w:p>
    <w:p w:rsidR="00832C6A" w:rsidRPr="00F87E17" w:rsidRDefault="00832C6A" w:rsidP="006E5073">
      <w:pPr>
        <w:ind w:left="698"/>
        <w:jc w:val="both"/>
        <w:rPr>
          <w:sz w:val="22"/>
          <w:szCs w:val="22"/>
          <w:lang w:val="uk-UA"/>
        </w:rPr>
      </w:pPr>
    </w:p>
    <w:p w:rsidR="00832C6A" w:rsidRPr="00F87E17" w:rsidRDefault="00832C6A" w:rsidP="006E5073">
      <w:pPr>
        <w:ind w:left="698" w:firstLine="567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Під заходами розуміються: тренінги, семінари, конференції,  круглі столи, симпозіуми, робочі зустрічі, збори та зустрічі керівних органів Організації, прес-конференції та інші заходи за участю цільових груп, проведення яких направлено на реалізацію статутних завдань Організатора тендеру</w:t>
      </w:r>
      <w:r w:rsidR="009B62B3" w:rsidRPr="00F87E17">
        <w:rPr>
          <w:sz w:val="22"/>
          <w:szCs w:val="22"/>
          <w:lang w:val="uk-UA"/>
        </w:rPr>
        <w:t>. Цільова аудиторія всіх подій</w:t>
      </w:r>
      <w:r w:rsidRPr="00F87E17">
        <w:rPr>
          <w:sz w:val="22"/>
          <w:szCs w:val="22"/>
          <w:lang w:val="uk-UA"/>
        </w:rPr>
        <w:t>:</w:t>
      </w:r>
    </w:p>
    <w:p w:rsidR="00832C6A" w:rsidRPr="00F87E17" w:rsidRDefault="00832C6A" w:rsidP="000D7DF1">
      <w:pPr>
        <w:pStyle w:val="a5"/>
        <w:numPr>
          <w:ilvl w:val="1"/>
          <w:numId w:val="8"/>
        </w:numPr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Медіаменеджери, редактори, власники медіа, продюсери;</w:t>
      </w:r>
    </w:p>
    <w:p w:rsidR="00832C6A" w:rsidRPr="00F87E17" w:rsidRDefault="00832C6A" w:rsidP="000D7DF1">
      <w:pPr>
        <w:pStyle w:val="a5"/>
        <w:numPr>
          <w:ilvl w:val="1"/>
          <w:numId w:val="8"/>
        </w:numPr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Журналісти національних та регіональних видань</w:t>
      </w:r>
      <w:r w:rsidR="009B62B3" w:rsidRPr="00F87E17">
        <w:rPr>
          <w:rFonts w:ascii="Times New Roman" w:hAnsi="Times New Roman"/>
          <w:lang w:val="uk-UA"/>
        </w:rPr>
        <w:t>;</w:t>
      </w:r>
    </w:p>
    <w:p w:rsidR="00832C6A" w:rsidRPr="00F87E17" w:rsidRDefault="00832C6A" w:rsidP="000D7DF1">
      <w:pPr>
        <w:pStyle w:val="a5"/>
        <w:numPr>
          <w:ilvl w:val="1"/>
          <w:numId w:val="8"/>
        </w:numPr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Медіаексперти, аналітики, медіаюристи, експерти з впровадження реформ дотичних до медіа;</w:t>
      </w:r>
    </w:p>
    <w:p w:rsidR="00832C6A" w:rsidRPr="00F87E17" w:rsidRDefault="00832C6A" w:rsidP="000D7DF1">
      <w:pPr>
        <w:pStyle w:val="a5"/>
        <w:numPr>
          <w:ilvl w:val="1"/>
          <w:numId w:val="8"/>
        </w:numPr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Медіаактивісти, активісти, представники українських та закордонних неприбуткових організацій;</w:t>
      </w:r>
    </w:p>
    <w:p w:rsidR="00832C6A" w:rsidRPr="00F87E17" w:rsidRDefault="00832C6A" w:rsidP="000D7DF1">
      <w:pPr>
        <w:pStyle w:val="a5"/>
        <w:numPr>
          <w:ilvl w:val="1"/>
          <w:numId w:val="8"/>
        </w:numPr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Донори, представники по</w:t>
      </w:r>
      <w:r w:rsidR="009B62B3" w:rsidRPr="00F87E17">
        <w:rPr>
          <w:rFonts w:ascii="Times New Roman" w:hAnsi="Times New Roman"/>
          <w:lang w:val="uk-UA"/>
        </w:rPr>
        <w:t>сольств та міжнародних проектів.</w:t>
      </w:r>
    </w:p>
    <w:p w:rsidR="00832C6A" w:rsidRPr="00F87E17" w:rsidRDefault="00832C6A" w:rsidP="00CF5540">
      <w:pPr>
        <w:pStyle w:val="a5"/>
        <w:ind w:left="1200"/>
        <w:rPr>
          <w:rFonts w:ascii="Times New Roman" w:hAnsi="Times New Roman"/>
          <w:color w:val="FF0000"/>
          <w:lang w:val="uk-UA"/>
        </w:rPr>
      </w:pPr>
    </w:p>
    <w:p w:rsidR="00832C6A" w:rsidRPr="00F87E17" w:rsidRDefault="00832C6A" w:rsidP="00066313">
      <w:pPr>
        <w:ind w:right="708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 xml:space="preserve"> 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Орієнтовний обсяг і географія замовлень</w:t>
      </w:r>
    </w:p>
    <w:p w:rsidR="00832C6A" w:rsidRPr="00F87E17" w:rsidRDefault="00832C6A" w:rsidP="00EB4E84">
      <w:pPr>
        <w:pStyle w:val="a5"/>
        <w:ind w:left="1276"/>
        <w:jc w:val="both"/>
        <w:rPr>
          <w:rFonts w:ascii="Times New Roman" w:hAnsi="Times New Roman"/>
          <w:lang w:val="uk-UA"/>
        </w:rPr>
      </w:pPr>
    </w:p>
    <w:p w:rsidR="00832C6A" w:rsidRPr="00F87E17" w:rsidRDefault="0017080E" w:rsidP="00EB4E84">
      <w:pPr>
        <w:pStyle w:val="a5"/>
        <w:ind w:left="1276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 xml:space="preserve">Під час всеукраїнського карантину, всі заходи Замовника проводяться онлайн в </w:t>
      </w:r>
      <w:r w:rsidRPr="00F87E17">
        <w:rPr>
          <w:rFonts w:ascii="Times New Roman" w:hAnsi="Times New Roman"/>
          <w:lang w:val="en-US"/>
        </w:rPr>
        <w:t>ZOOM</w:t>
      </w:r>
      <w:r w:rsidRPr="00F87E17">
        <w:rPr>
          <w:rFonts w:ascii="Times New Roman" w:hAnsi="Times New Roman"/>
          <w:lang w:val="uk-UA"/>
        </w:rPr>
        <w:t xml:space="preserve">.  Після зняття карантинних обмежень, </w:t>
      </w:r>
      <w:r w:rsidR="00F77688" w:rsidRPr="00F87E17">
        <w:rPr>
          <w:rFonts w:ascii="Times New Roman" w:hAnsi="Times New Roman"/>
          <w:lang w:val="uk-UA"/>
        </w:rPr>
        <w:t>буде з</w:t>
      </w:r>
      <w:r w:rsidR="00832C6A" w:rsidRPr="00F87E17">
        <w:rPr>
          <w:rFonts w:ascii="Times New Roman" w:hAnsi="Times New Roman"/>
          <w:lang w:val="uk-UA"/>
        </w:rPr>
        <w:t xml:space="preserve">аплановано проведення заходів в м. Київ, в інших містах України та за кордоном. Заходи зазвичай тривають від одного до </w:t>
      </w:r>
      <w:r w:rsidR="0036388B" w:rsidRPr="00F87E17">
        <w:rPr>
          <w:rFonts w:ascii="Times New Roman" w:hAnsi="Times New Roman"/>
          <w:lang w:val="uk-UA"/>
        </w:rPr>
        <w:t>п’яти</w:t>
      </w:r>
      <w:r w:rsidR="00832C6A" w:rsidRPr="00F87E17">
        <w:rPr>
          <w:rFonts w:ascii="Times New Roman" w:hAnsi="Times New Roman"/>
          <w:lang w:val="uk-UA"/>
        </w:rPr>
        <w:t xml:space="preserve"> днів </w:t>
      </w:r>
    </w:p>
    <w:p w:rsidR="00832C6A" w:rsidRPr="00F87E17" w:rsidRDefault="00832C6A" w:rsidP="00EB4E84">
      <w:pPr>
        <w:pStyle w:val="a5"/>
        <w:ind w:left="1276"/>
        <w:jc w:val="both"/>
        <w:rPr>
          <w:rFonts w:ascii="Times New Roman" w:hAnsi="Times New Roman"/>
          <w:lang w:val="uk-UA"/>
        </w:rPr>
      </w:pPr>
    </w:p>
    <w:p w:rsidR="00832C6A" w:rsidRPr="00F87E17" w:rsidRDefault="00832C6A" w:rsidP="00EB4E84">
      <w:pPr>
        <w:pStyle w:val="a5"/>
        <w:ind w:left="1276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Для інформації</w:t>
      </w:r>
      <w:r w:rsidRPr="00F87E17">
        <w:rPr>
          <w:rFonts w:ascii="Times New Roman" w:hAnsi="Times New Roman"/>
        </w:rPr>
        <w:t xml:space="preserve">: </w:t>
      </w:r>
      <w:r w:rsidRPr="00F87E17">
        <w:rPr>
          <w:rFonts w:ascii="Times New Roman" w:hAnsi="Times New Roman"/>
          <w:lang w:val="uk-UA"/>
        </w:rPr>
        <w:t>Протягом 201</w:t>
      </w:r>
      <w:r w:rsidR="0036388B" w:rsidRPr="00F87E17">
        <w:rPr>
          <w:rFonts w:ascii="Times New Roman" w:hAnsi="Times New Roman"/>
          <w:lang w:val="uk-UA"/>
        </w:rPr>
        <w:t>9</w:t>
      </w:r>
      <w:r w:rsidR="00F77688" w:rsidRPr="00F87E17">
        <w:rPr>
          <w:rFonts w:ascii="Times New Roman" w:hAnsi="Times New Roman"/>
          <w:lang w:val="uk-UA"/>
        </w:rPr>
        <w:t>-2020</w:t>
      </w:r>
      <w:r w:rsidR="00FE2DB2" w:rsidRPr="00F87E17">
        <w:rPr>
          <w:rFonts w:ascii="Times New Roman" w:hAnsi="Times New Roman"/>
          <w:lang w:val="uk-UA"/>
        </w:rPr>
        <w:t xml:space="preserve"> р. було проведено понад </w:t>
      </w:r>
      <w:r w:rsidR="0036388B" w:rsidRPr="00F87E17">
        <w:rPr>
          <w:rFonts w:ascii="Times New Roman" w:hAnsi="Times New Roman"/>
          <w:lang w:val="uk-UA"/>
        </w:rPr>
        <w:t>50</w:t>
      </w:r>
      <w:r w:rsidRPr="00F87E17">
        <w:rPr>
          <w:rFonts w:ascii="Times New Roman" w:hAnsi="Times New Roman"/>
          <w:lang w:val="uk-UA"/>
        </w:rPr>
        <w:t xml:space="preserve"> заходів загальний бюджет яких склав</w:t>
      </w:r>
      <w:r w:rsidRPr="00F87E17">
        <w:rPr>
          <w:rFonts w:ascii="Times New Roman" w:hAnsi="Times New Roman"/>
        </w:rPr>
        <w:t xml:space="preserve"> </w:t>
      </w:r>
      <w:r w:rsidRPr="00F87E17">
        <w:rPr>
          <w:rFonts w:ascii="Times New Roman" w:hAnsi="Times New Roman"/>
          <w:lang w:val="uk-UA"/>
        </w:rPr>
        <w:t>близько 1 млн. грн. гривень. Середня тривалість заходів 1-</w:t>
      </w:r>
      <w:r w:rsidR="0036388B" w:rsidRPr="00F87E17">
        <w:rPr>
          <w:rFonts w:ascii="Times New Roman" w:hAnsi="Times New Roman"/>
          <w:lang w:val="uk-UA"/>
        </w:rPr>
        <w:t>5</w:t>
      </w:r>
      <w:r w:rsidRPr="00F87E17">
        <w:rPr>
          <w:rFonts w:ascii="Times New Roman" w:hAnsi="Times New Roman"/>
          <w:lang w:val="uk-UA"/>
        </w:rPr>
        <w:t xml:space="preserve"> дні</w:t>
      </w:r>
      <w:r w:rsidR="0036388B" w:rsidRPr="00F87E17">
        <w:rPr>
          <w:rFonts w:ascii="Times New Roman" w:hAnsi="Times New Roman"/>
          <w:lang w:val="uk-UA"/>
        </w:rPr>
        <w:t>в</w:t>
      </w:r>
      <w:r w:rsidRPr="00F87E17">
        <w:rPr>
          <w:rFonts w:ascii="Times New Roman" w:hAnsi="Times New Roman"/>
          <w:lang w:val="uk-UA"/>
        </w:rPr>
        <w:t>. Як правило це - тренінги, конференції, презентації</w:t>
      </w:r>
      <w:r w:rsidR="00FE2DB2" w:rsidRPr="00F87E17">
        <w:rPr>
          <w:rFonts w:ascii="Times New Roman" w:hAnsi="Times New Roman"/>
          <w:lang w:val="uk-UA"/>
        </w:rPr>
        <w:t>,</w:t>
      </w:r>
      <w:r w:rsidRPr="00F87E17">
        <w:rPr>
          <w:rFonts w:ascii="Times New Roman" w:hAnsi="Times New Roman"/>
          <w:lang w:val="uk-UA"/>
        </w:rPr>
        <w:t xml:space="preserve"> круглі столи</w:t>
      </w:r>
      <w:r w:rsidR="00FE2DB2" w:rsidRPr="00F87E17">
        <w:rPr>
          <w:rFonts w:ascii="Times New Roman" w:hAnsi="Times New Roman"/>
          <w:lang w:val="uk-UA"/>
        </w:rPr>
        <w:t xml:space="preserve"> та участь в міжнародних тематичних конференціях</w:t>
      </w:r>
      <w:r w:rsidRPr="00F87E17">
        <w:rPr>
          <w:rFonts w:ascii="Times New Roman" w:hAnsi="Times New Roman"/>
          <w:lang w:val="uk-UA"/>
        </w:rPr>
        <w:t>.</w:t>
      </w:r>
    </w:p>
    <w:p w:rsidR="00832C6A" w:rsidRPr="00F87E17" w:rsidRDefault="00832C6A" w:rsidP="009D3330">
      <w:pPr>
        <w:pStyle w:val="a5"/>
        <w:ind w:left="1276"/>
        <w:jc w:val="both"/>
        <w:rPr>
          <w:rFonts w:ascii="Arial" w:hAnsi="Arial" w:cs="Arial"/>
          <w:lang w:val="uk-UA"/>
        </w:rPr>
      </w:pP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Порядок надання послуг на території України:</w:t>
      </w:r>
    </w:p>
    <w:p w:rsidR="00832C6A" w:rsidRPr="00F87E17" w:rsidRDefault="00832C6A" w:rsidP="009D3330">
      <w:pPr>
        <w:pStyle w:val="a5"/>
        <w:rPr>
          <w:rFonts w:ascii="Arial" w:hAnsi="Arial" w:cs="Arial"/>
          <w:lang w:val="uk-UA"/>
        </w:rPr>
      </w:pPr>
    </w:p>
    <w:p w:rsidR="00832C6A" w:rsidRPr="00F87E17" w:rsidRDefault="00832C6A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для замовлення кожного окремого</w:t>
      </w:r>
      <w:r w:rsidRPr="00F87E17">
        <w:rPr>
          <w:sz w:val="22"/>
          <w:szCs w:val="22"/>
        </w:rPr>
        <w:t xml:space="preserve"> заходу</w:t>
      </w:r>
      <w:r w:rsidRPr="00F87E17">
        <w:rPr>
          <w:sz w:val="22"/>
          <w:szCs w:val="22"/>
          <w:lang w:val="uk-UA"/>
        </w:rPr>
        <w:t xml:space="preserve"> ГО «Детектор Медіа» надає виконавцю заявку, яка складається у довільній формі та містить специфікацію послуг (зокрема, їх обсяг, асортимент, строки виконання). Така заявка подається, як правило, за 14 (чотирнадцять) календарних днів до бажаної дати початку заходу;</w:t>
      </w:r>
    </w:p>
    <w:p w:rsidR="00832C6A" w:rsidRPr="00F87E17" w:rsidRDefault="00832C6A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виконавець у свою чергу протягом 2 (двох) робочих днів надає ГО «Детектор Медіа»</w:t>
      </w:r>
      <w:r w:rsidRPr="00F87E17">
        <w:rPr>
          <w:sz w:val="22"/>
          <w:szCs w:val="22"/>
        </w:rPr>
        <w:t xml:space="preserve"> </w:t>
      </w:r>
      <w:r w:rsidRPr="00F87E17">
        <w:rPr>
          <w:sz w:val="22"/>
          <w:szCs w:val="22"/>
          <w:lang w:val="uk-UA"/>
        </w:rPr>
        <w:t>складений у відповідності до заявки деталізований кошторис заходу. ГО «Детектор Медіа»</w:t>
      </w:r>
      <w:r w:rsidRPr="00F87E17">
        <w:rPr>
          <w:sz w:val="22"/>
          <w:szCs w:val="22"/>
        </w:rPr>
        <w:t xml:space="preserve"> </w:t>
      </w:r>
      <w:r w:rsidRPr="00F87E17">
        <w:rPr>
          <w:sz w:val="22"/>
          <w:szCs w:val="22"/>
          <w:lang w:val="uk-UA"/>
        </w:rPr>
        <w:t xml:space="preserve"> погоджує такий кошторис заходу, не пізніше ніж за 7 (сім) календарних днів до дати початку заходу, після чого він підписується сторонами. Кошторис заходу є Додатком  до Договору та становить невід’ємну частину Договору; </w:t>
      </w:r>
    </w:p>
    <w:p w:rsidR="00832C6A" w:rsidRPr="00F87E17" w:rsidRDefault="00832C6A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у разі збільшення або зменшення фактичної вартості наданих  послуг, відповідний кошторис витрат додається до Акту прийому - передачі наданих послуг;</w:t>
      </w:r>
    </w:p>
    <w:p w:rsidR="00832C6A" w:rsidRPr="00F87E17" w:rsidRDefault="00832C6A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замовник залишає за собою право вимагати від постачальника первинну документацію по кожному окремому заходу для перевірки калькуляції затрат;</w:t>
      </w:r>
    </w:p>
    <w:p w:rsidR="00832C6A" w:rsidRPr="00F87E17" w:rsidRDefault="00832C6A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 xml:space="preserve">акт </w:t>
      </w:r>
      <w:bookmarkStart w:id="0" w:name="OLE_LINK1"/>
      <w:r w:rsidRPr="00F87E17">
        <w:rPr>
          <w:sz w:val="22"/>
          <w:szCs w:val="22"/>
          <w:lang w:val="uk-UA"/>
        </w:rPr>
        <w:t xml:space="preserve">прийому-передачі </w:t>
      </w:r>
      <w:bookmarkEnd w:id="0"/>
      <w:r w:rsidRPr="00F87E17">
        <w:rPr>
          <w:sz w:val="22"/>
          <w:szCs w:val="22"/>
          <w:lang w:val="uk-UA"/>
        </w:rPr>
        <w:t xml:space="preserve">наданих послуг розглядається ГО «Детектор Медіа» не більше 5 (п’яти) банківських днів з моменту отримання від виконавця його проекту. ГО «Детектор Медіа» </w:t>
      </w:r>
      <w:r w:rsidRPr="00F87E17">
        <w:rPr>
          <w:sz w:val="22"/>
          <w:szCs w:val="22"/>
          <w:lang w:val="uk-UA"/>
        </w:rPr>
        <w:lastRenderedPageBreak/>
        <w:t>надає виконавцю підписаний Акт прийому-передачі наданих послуг або мотивовану відмову від  їх прийняття;</w:t>
      </w:r>
    </w:p>
    <w:p w:rsidR="00832C6A" w:rsidRPr="00F87E17" w:rsidRDefault="00832C6A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зобов’язання виконавця вважаються виконаними у разі підписання уповноваженими представниками Сторін Акту прийому-передачі наданих послуг.</w:t>
      </w:r>
    </w:p>
    <w:p w:rsidR="00832C6A" w:rsidRPr="00F87E17" w:rsidRDefault="00832C6A" w:rsidP="009D3330">
      <w:pPr>
        <w:ind w:left="113" w:right="142"/>
        <w:jc w:val="both"/>
        <w:rPr>
          <w:sz w:val="22"/>
          <w:szCs w:val="22"/>
          <w:lang w:val="uk-UA"/>
        </w:rPr>
      </w:pP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 xml:space="preserve">Умови оплати послуг, наданих на території України: </w:t>
      </w:r>
    </w:p>
    <w:p w:rsidR="00832C6A" w:rsidRPr="00F87E17" w:rsidRDefault="00832C6A" w:rsidP="00757565">
      <w:pPr>
        <w:pStyle w:val="a5"/>
        <w:ind w:left="1276"/>
        <w:jc w:val="both"/>
        <w:rPr>
          <w:rFonts w:ascii="Times New Roman" w:hAnsi="Times New Roman"/>
          <w:lang w:val="uk-UA"/>
        </w:rPr>
      </w:pPr>
    </w:p>
    <w:p w:rsidR="00832C6A" w:rsidRPr="00F87E17" w:rsidRDefault="00832C6A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оплата послуг з матеріально – технічного забезпечення комплексного обслуговування кожного конкретного заходу здійснюється ГО «Детектор Медіа»</w:t>
      </w:r>
      <w:r w:rsidRPr="00F87E17">
        <w:rPr>
          <w:sz w:val="22"/>
          <w:szCs w:val="22"/>
        </w:rPr>
        <w:t xml:space="preserve"> </w:t>
      </w:r>
      <w:r w:rsidRPr="00F87E17">
        <w:rPr>
          <w:sz w:val="22"/>
          <w:szCs w:val="22"/>
          <w:lang w:val="uk-UA"/>
        </w:rPr>
        <w:t>на підставі кошторису заходу шляхом безготівкового перерахування відповідної суми на поточний рахунок виконавцю у наступному порядку:</w:t>
      </w:r>
    </w:p>
    <w:p w:rsidR="00832C6A" w:rsidRPr="00F87E17" w:rsidRDefault="00FE2DB2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передплата від 5</w:t>
      </w:r>
      <w:r w:rsidR="00832C6A" w:rsidRPr="00F87E17">
        <w:rPr>
          <w:sz w:val="22"/>
          <w:szCs w:val="22"/>
          <w:lang w:val="uk-UA"/>
        </w:rPr>
        <w:t>0% від суми, зазначеної у попередньому кошторису заходу, протягом 5 (п’яти) банківських днів з моменту затвердження кошторису ГО «Детектор Медіа».</w:t>
      </w:r>
    </w:p>
    <w:p w:rsidR="00832C6A" w:rsidRPr="00F87E17" w:rsidRDefault="00832C6A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доплата різниці, між сумами, зазначеними у фінальному та попередньому кошторисах заходу, протягом 5 (п’яти) банківських днів з моменту підписання Акту прийому – передачі наданих послуг.</w:t>
      </w:r>
    </w:p>
    <w:p w:rsidR="00832C6A" w:rsidRPr="00F87E17" w:rsidRDefault="00832C6A" w:rsidP="009D3330">
      <w:pPr>
        <w:ind w:right="142"/>
        <w:jc w:val="both"/>
        <w:rPr>
          <w:rFonts w:ascii="Arial" w:hAnsi="Arial" w:cs="Arial"/>
          <w:sz w:val="22"/>
          <w:szCs w:val="22"/>
        </w:rPr>
      </w:pPr>
    </w:p>
    <w:p w:rsidR="00832C6A" w:rsidRPr="00F87E17" w:rsidRDefault="00832C6A" w:rsidP="009D3330">
      <w:pPr>
        <w:ind w:right="142"/>
        <w:jc w:val="both"/>
        <w:rPr>
          <w:rFonts w:ascii="Arial" w:hAnsi="Arial" w:cs="Arial"/>
          <w:sz w:val="22"/>
          <w:szCs w:val="22"/>
          <w:lang w:val="uk-UA"/>
        </w:rPr>
      </w:pP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Порядок надання послуг за межами України (окрім території посольств та консульських установ іноземних держав, що знаходяться на території України):</w:t>
      </w:r>
    </w:p>
    <w:p w:rsidR="00832C6A" w:rsidRPr="00F87E17" w:rsidRDefault="00832C6A" w:rsidP="00757565">
      <w:pPr>
        <w:pStyle w:val="a5"/>
        <w:ind w:left="1276"/>
        <w:jc w:val="both"/>
        <w:rPr>
          <w:rFonts w:ascii="Times New Roman" w:hAnsi="Times New Roman"/>
          <w:lang w:val="uk-UA"/>
        </w:rPr>
      </w:pPr>
    </w:p>
    <w:p w:rsidR="00832C6A" w:rsidRPr="00F87E17" w:rsidRDefault="00832C6A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для замовлення кожного окремого заходу ГО «Детектор Медіа»</w:t>
      </w:r>
      <w:r w:rsidRPr="00F87E17">
        <w:rPr>
          <w:sz w:val="22"/>
          <w:szCs w:val="22"/>
        </w:rPr>
        <w:t xml:space="preserve"> </w:t>
      </w:r>
      <w:r w:rsidRPr="00F87E17">
        <w:rPr>
          <w:sz w:val="22"/>
          <w:szCs w:val="22"/>
          <w:lang w:val="uk-UA"/>
        </w:rPr>
        <w:t>надає виконавцю заявку, яка складається у довільній формі та містить специфікацію послуг (зокрема, їх обсяг, асортимент, строки виконання). Така заявка подається не менш ніж за 30 (тридцять) календарних днів до бажаної дати початку заходу;</w:t>
      </w:r>
    </w:p>
    <w:p w:rsidR="00832C6A" w:rsidRPr="00F87E17" w:rsidRDefault="00832C6A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виконавець у свою чергу протягом 7 (семи) банківських днів надає ГО «Детектор Медіа»</w:t>
      </w:r>
      <w:r w:rsidRPr="00F87E17">
        <w:rPr>
          <w:sz w:val="22"/>
          <w:szCs w:val="22"/>
        </w:rPr>
        <w:t xml:space="preserve"> </w:t>
      </w:r>
      <w:r w:rsidRPr="00F87E17">
        <w:rPr>
          <w:sz w:val="22"/>
          <w:szCs w:val="22"/>
          <w:lang w:val="uk-UA"/>
        </w:rPr>
        <w:t>складений у відповідності до заявки деталізований кошторис заходу. ГО «Детектор Медіа»</w:t>
      </w:r>
      <w:r w:rsidRPr="00F87E17">
        <w:rPr>
          <w:sz w:val="22"/>
          <w:szCs w:val="22"/>
        </w:rPr>
        <w:t xml:space="preserve"> </w:t>
      </w:r>
      <w:r w:rsidRPr="00F87E17">
        <w:rPr>
          <w:sz w:val="22"/>
          <w:szCs w:val="22"/>
          <w:lang w:val="uk-UA"/>
        </w:rPr>
        <w:t>погоджує такий кошторис заходу, не пізніше ніж за 14 (чотирнадцять) календарних днів до дати початку заходу, після чого він підписується сторонами. Кошторис заходу є Додатком  до Договору та становить невід’ємну частину Договору;</w:t>
      </w:r>
    </w:p>
    <w:p w:rsidR="00832C6A" w:rsidRPr="00F87E17" w:rsidRDefault="00832C6A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 xml:space="preserve">у разі збільшення або зменшення фактичної вартості наданих  послуг, відповідний кошторис витрат додається до Акту прийому - передачі наданих послуг; </w:t>
      </w:r>
    </w:p>
    <w:p w:rsidR="00832C6A" w:rsidRPr="00F87E17" w:rsidRDefault="00832C6A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замовник залишає за собою право вимагати від постачальника первинну документацію по кожному окремому заходу для перевірки калькуляції затрат;</w:t>
      </w:r>
    </w:p>
    <w:p w:rsidR="00832C6A" w:rsidRPr="00F87E17" w:rsidRDefault="00832C6A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акт прийому-передачі наданих послуг розглядається ГО «Детектор Медіа»</w:t>
      </w:r>
      <w:r w:rsidRPr="00F87E17">
        <w:rPr>
          <w:sz w:val="22"/>
          <w:szCs w:val="22"/>
        </w:rPr>
        <w:t xml:space="preserve"> </w:t>
      </w:r>
      <w:r w:rsidRPr="00F87E17">
        <w:rPr>
          <w:sz w:val="22"/>
          <w:szCs w:val="22"/>
          <w:lang w:val="uk-UA"/>
        </w:rPr>
        <w:t>не більше 5 (п’яти) банківських днів з моменту отримання від виконавця його проекту. ГО «Детектор Медіа»</w:t>
      </w:r>
      <w:r w:rsidRPr="00F87E17">
        <w:rPr>
          <w:sz w:val="22"/>
          <w:szCs w:val="22"/>
        </w:rPr>
        <w:t xml:space="preserve"> </w:t>
      </w:r>
      <w:r w:rsidRPr="00F87E17">
        <w:rPr>
          <w:sz w:val="22"/>
          <w:szCs w:val="22"/>
          <w:lang w:val="uk-UA"/>
        </w:rPr>
        <w:t>надає виконавцю підписаний Акт прийому-передачі наданих послуг або мотивовану відмову від  їх прийняття;</w:t>
      </w:r>
    </w:p>
    <w:p w:rsidR="00832C6A" w:rsidRPr="00F87E17" w:rsidRDefault="00832C6A" w:rsidP="000D7DF1">
      <w:pPr>
        <w:numPr>
          <w:ilvl w:val="0"/>
          <w:numId w:val="3"/>
        </w:numPr>
        <w:ind w:left="567" w:right="142" w:firstLine="425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зобов’язання виконавця вважаються виконаними у разі підписання уповноваженими представниками Сторін Акту прийому-передачі наданих послуг.</w:t>
      </w:r>
    </w:p>
    <w:p w:rsidR="00832C6A" w:rsidRPr="00F87E17" w:rsidRDefault="00832C6A" w:rsidP="000D36CE">
      <w:pPr>
        <w:ind w:right="142"/>
        <w:jc w:val="both"/>
        <w:rPr>
          <w:sz w:val="22"/>
          <w:szCs w:val="22"/>
          <w:lang w:val="uk-UA"/>
        </w:rPr>
      </w:pPr>
    </w:p>
    <w:p w:rsidR="00832C6A" w:rsidRPr="00F87E17" w:rsidRDefault="00832C6A" w:rsidP="000D36CE">
      <w:pPr>
        <w:ind w:right="142"/>
        <w:jc w:val="both"/>
        <w:rPr>
          <w:sz w:val="22"/>
          <w:szCs w:val="22"/>
          <w:lang w:val="uk-UA"/>
        </w:rPr>
      </w:pPr>
    </w:p>
    <w:p w:rsidR="00832C6A" w:rsidRPr="00F87E17" w:rsidRDefault="00832C6A" w:rsidP="000D7DF1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lang w:val="uk-UA"/>
        </w:rPr>
      </w:pPr>
      <w:r w:rsidRPr="00F87E17">
        <w:rPr>
          <w:rFonts w:ascii="Times New Roman" w:hAnsi="Times New Roman"/>
          <w:b/>
          <w:lang w:val="uk-UA"/>
        </w:rPr>
        <w:t xml:space="preserve">Вимоги до Учасника тендеру 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 xml:space="preserve">Взяти участь у тендері може суб’єкт підприємницької діяльності за законодавством України. У разі, якщо Учасник планує надавати послуги у тому числі із залученням афілійованих з Учасником суб’єктів підприємницької діяльності (наприклад, фізичних осіб-підприємців), необхідно надати дані про таких осіб. Афілійованість таких сторін повинна бути підтверджена офіційним листом Учасника, який слід долучити до тендерної пропозиції. 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Учасник повинен мати власні ресурси, необхідні для проведення заходів (управлінський та обслуговуючий персонал, транспортні та технічні засоби, тощо);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Учасник повинен мати також бази зовнішніх ресурсів для надання вищезазначених послуг (укладені угоди з готелями, конференц-залами, кейтерінговими та транспортними компаніями, тощо);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Учасник повинен мати можливість надавати послуги або мати ресурсну підтримку для проведення заходів за межами України (як для юридичної особи так і для фізичної особи).</w:t>
      </w:r>
    </w:p>
    <w:p w:rsidR="00832C6A" w:rsidRPr="00F87E17" w:rsidRDefault="00832C6A" w:rsidP="009326D3">
      <w:pPr>
        <w:pStyle w:val="a5"/>
        <w:ind w:left="426"/>
        <w:jc w:val="both"/>
        <w:rPr>
          <w:rFonts w:ascii="Times New Roman" w:hAnsi="Times New Roman"/>
          <w:lang w:val="uk-UA"/>
        </w:rPr>
      </w:pPr>
    </w:p>
    <w:p w:rsidR="00832C6A" w:rsidRPr="00F87E17" w:rsidRDefault="00832C6A" w:rsidP="009D3330">
      <w:pPr>
        <w:ind w:right="142"/>
        <w:rPr>
          <w:rFonts w:ascii="Arial" w:hAnsi="Arial" w:cs="Arial"/>
          <w:sz w:val="22"/>
          <w:szCs w:val="22"/>
          <w:lang w:val="uk-UA"/>
        </w:rPr>
      </w:pPr>
    </w:p>
    <w:p w:rsidR="00832C6A" w:rsidRPr="00F87E17" w:rsidRDefault="00832C6A" w:rsidP="009D3330">
      <w:pPr>
        <w:ind w:right="142"/>
        <w:rPr>
          <w:rFonts w:ascii="Arial" w:hAnsi="Arial" w:cs="Arial"/>
          <w:sz w:val="22"/>
          <w:szCs w:val="22"/>
          <w:lang w:val="uk-UA"/>
        </w:rPr>
      </w:pPr>
    </w:p>
    <w:p w:rsidR="00832C6A" w:rsidRPr="00F87E17" w:rsidRDefault="00832C6A" w:rsidP="000D7DF1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lang w:val="uk-UA"/>
        </w:rPr>
      </w:pPr>
      <w:r w:rsidRPr="00F87E17">
        <w:rPr>
          <w:rFonts w:ascii="Times New Roman" w:hAnsi="Times New Roman"/>
          <w:b/>
          <w:lang w:val="uk-UA"/>
        </w:rPr>
        <w:t>Ключові критерії оцінки тендерних Заявок</w:t>
      </w:r>
    </w:p>
    <w:p w:rsidR="00832C6A" w:rsidRPr="00F87E17" w:rsidRDefault="00832C6A" w:rsidP="00A77E32">
      <w:pPr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sz w:val="22"/>
          <w:szCs w:val="22"/>
          <w:lang w:val="uk-UA"/>
        </w:rPr>
      </w:pPr>
    </w:p>
    <w:p w:rsidR="00832C6A" w:rsidRPr="00F87E17" w:rsidRDefault="00832C6A" w:rsidP="00A77E32">
      <w:pPr>
        <w:autoSpaceDE w:val="0"/>
        <w:autoSpaceDN w:val="0"/>
        <w:adjustRightInd w:val="0"/>
        <w:ind w:left="567" w:firstLine="567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Подані учасниками тендеру тендерні пропозиції будуть в подальшому оцінені щодо їх відповідності наступним критеріям (перелічені, починаючи з найбільш значущого):</w:t>
      </w:r>
    </w:p>
    <w:p w:rsidR="00832C6A" w:rsidRPr="00F87E17" w:rsidRDefault="00832C6A" w:rsidP="00A77E32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Відповідність тендерній документації;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Наявність, обсяг та рівень власних та зовнішніх ресурсів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Досвід роботи в сфері надання послуг з матеріально-технічного супроводу заходів, у тому числі з організаціями неурядового сектору</w:t>
      </w:r>
    </w:p>
    <w:p w:rsidR="00DC06FF" w:rsidRPr="00F87E17" w:rsidRDefault="00DC06FF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 xml:space="preserve">Досвід з проведення </w:t>
      </w:r>
      <w:r w:rsidRPr="00F87E17">
        <w:rPr>
          <w:rFonts w:ascii="Times New Roman" w:hAnsi="Times New Roman"/>
          <w:lang w:val="en-US"/>
        </w:rPr>
        <w:t>ZOOM</w:t>
      </w:r>
      <w:r w:rsidRPr="00F87E17">
        <w:rPr>
          <w:rFonts w:ascii="Times New Roman" w:hAnsi="Times New Roman"/>
          <w:lang w:val="uk-UA"/>
        </w:rPr>
        <w:t xml:space="preserve"> конференцій в 2020 році з технічною підтримкою. А саме: монтаж прямого ефіру (титри, переключення між спікерами, трансляція в </w:t>
      </w:r>
      <w:r w:rsidRPr="00F87E17">
        <w:rPr>
          <w:rFonts w:ascii="Times New Roman" w:hAnsi="Times New Roman"/>
          <w:lang w:val="en-US"/>
        </w:rPr>
        <w:t>Facebook</w:t>
      </w:r>
      <w:r w:rsidRPr="00F87E17">
        <w:rPr>
          <w:rFonts w:ascii="Times New Roman" w:hAnsi="Times New Roman"/>
          <w:lang w:val="uk-UA"/>
        </w:rPr>
        <w:t>/</w:t>
      </w:r>
      <w:r w:rsidRPr="00F87E17">
        <w:rPr>
          <w:rFonts w:ascii="Times New Roman" w:hAnsi="Times New Roman"/>
          <w:lang w:val="en-US"/>
        </w:rPr>
        <w:t>Youtube</w:t>
      </w:r>
      <w:r w:rsidRPr="00F87E17">
        <w:rPr>
          <w:rFonts w:ascii="Times New Roman" w:hAnsi="Times New Roman"/>
          <w:lang w:val="uk-UA"/>
        </w:rPr>
        <w:t>, дизайн обкладинки), запис, включення синхронного перекладача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Фактичний обсяг послуг (кількість заходів та їх загальна вартісна сума) з матеріально-технічного супроводу заходів, наданий Учасником тендеру у 20</w:t>
      </w:r>
      <w:r w:rsidR="00DC06FF" w:rsidRPr="00F87E17">
        <w:rPr>
          <w:rFonts w:ascii="Times New Roman" w:hAnsi="Times New Roman"/>
          <w:lang w:val="uk-UA"/>
        </w:rPr>
        <w:t>19-2020</w:t>
      </w:r>
      <w:r w:rsidRPr="00F87E17">
        <w:rPr>
          <w:rFonts w:ascii="Times New Roman" w:hAnsi="Times New Roman"/>
          <w:lang w:val="uk-UA"/>
        </w:rPr>
        <w:t xml:space="preserve"> рр.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Фінансові умови співпраці:</w:t>
      </w:r>
    </w:p>
    <w:p w:rsidR="00832C6A" w:rsidRPr="00F87E17" w:rsidRDefault="00832C6A" w:rsidP="000D7DF1">
      <w:pPr>
        <w:pStyle w:val="a5"/>
        <w:numPr>
          <w:ilvl w:val="2"/>
          <w:numId w:val="1"/>
        </w:numPr>
        <w:jc w:val="both"/>
        <w:rPr>
          <w:rFonts w:ascii="Times New Roman" w:hAnsi="Times New Roman"/>
          <w:b/>
        </w:rPr>
      </w:pPr>
      <w:r w:rsidRPr="00F87E17">
        <w:rPr>
          <w:rFonts w:ascii="Times New Roman" w:hAnsi="Times New Roman"/>
          <w:lang w:val="uk-UA"/>
        </w:rPr>
        <w:t>Відсоток знижок на проживання в готелях та конференц-залах згідно додатку №2;</w:t>
      </w:r>
    </w:p>
    <w:p w:rsidR="00832C6A" w:rsidRPr="00F87E17" w:rsidRDefault="00832C6A" w:rsidP="000D7DF1">
      <w:pPr>
        <w:pStyle w:val="a5"/>
        <w:numPr>
          <w:ilvl w:val="2"/>
          <w:numId w:val="1"/>
        </w:numPr>
        <w:jc w:val="both"/>
        <w:rPr>
          <w:rFonts w:ascii="Times New Roman" w:hAnsi="Times New Roman"/>
        </w:rPr>
      </w:pPr>
      <w:r w:rsidRPr="00F87E17">
        <w:rPr>
          <w:rFonts w:ascii="Times New Roman" w:hAnsi="Times New Roman"/>
          <w:lang w:val="uk-UA"/>
        </w:rPr>
        <w:t>Розмір винагороди за надання послуг з комплексної логістики заходів</w:t>
      </w:r>
      <w:r w:rsidRPr="00F87E17">
        <w:rPr>
          <w:rFonts w:ascii="Times New Roman" w:hAnsi="Times New Roman"/>
        </w:rPr>
        <w:t xml:space="preserve"> </w:t>
      </w:r>
      <w:r w:rsidRPr="00F87E17">
        <w:rPr>
          <w:rFonts w:ascii="Times New Roman" w:hAnsi="Times New Roman"/>
          <w:lang w:val="uk-UA"/>
        </w:rPr>
        <w:t>згідно додатку №3;</w:t>
      </w:r>
      <w:r w:rsidRPr="00F87E17">
        <w:rPr>
          <w:rFonts w:ascii="Times New Roman" w:hAnsi="Times New Roman"/>
        </w:rPr>
        <w:t xml:space="preserve"> </w:t>
      </w:r>
    </w:p>
    <w:p w:rsidR="00832C6A" w:rsidRPr="00F87E17" w:rsidRDefault="00832C6A" w:rsidP="009D3330">
      <w:pPr>
        <w:tabs>
          <w:tab w:val="num" w:pos="0"/>
        </w:tabs>
        <w:ind w:right="142" w:firstLine="567"/>
        <w:rPr>
          <w:rFonts w:ascii="Arial" w:hAnsi="Arial" w:cs="Arial"/>
          <w:sz w:val="22"/>
          <w:szCs w:val="22"/>
          <w:lang w:val="uk-UA"/>
        </w:rPr>
      </w:pPr>
    </w:p>
    <w:p w:rsidR="00832C6A" w:rsidRPr="00F87E17" w:rsidRDefault="00832C6A" w:rsidP="009D3330">
      <w:pPr>
        <w:tabs>
          <w:tab w:val="num" w:pos="0"/>
        </w:tabs>
        <w:ind w:right="142" w:firstLine="567"/>
        <w:rPr>
          <w:rFonts w:ascii="Arial" w:hAnsi="Arial" w:cs="Arial"/>
          <w:sz w:val="22"/>
          <w:szCs w:val="22"/>
          <w:lang w:val="uk-UA"/>
        </w:rPr>
      </w:pPr>
    </w:p>
    <w:p w:rsidR="00832C6A" w:rsidRPr="00F87E17" w:rsidRDefault="00832C6A" w:rsidP="000D7DF1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lang w:val="uk-UA"/>
        </w:rPr>
      </w:pPr>
      <w:r w:rsidRPr="00F87E17">
        <w:rPr>
          <w:rFonts w:ascii="Times New Roman" w:hAnsi="Times New Roman"/>
          <w:b/>
          <w:lang w:val="uk-UA"/>
        </w:rPr>
        <w:t>Зміст тендерних Заявок</w:t>
      </w:r>
    </w:p>
    <w:p w:rsidR="00832C6A" w:rsidRPr="00F87E17" w:rsidRDefault="00832C6A" w:rsidP="002C4131">
      <w:pPr>
        <w:autoSpaceDE w:val="0"/>
        <w:autoSpaceDN w:val="0"/>
        <w:adjustRightInd w:val="0"/>
        <w:ind w:left="567" w:firstLine="567"/>
        <w:jc w:val="both"/>
        <w:rPr>
          <w:sz w:val="22"/>
          <w:szCs w:val="22"/>
          <w:lang w:val="uk-UA"/>
        </w:rPr>
      </w:pPr>
    </w:p>
    <w:p w:rsidR="00832C6A" w:rsidRPr="00F87E17" w:rsidRDefault="00832C6A" w:rsidP="002C4131">
      <w:pPr>
        <w:autoSpaceDE w:val="0"/>
        <w:autoSpaceDN w:val="0"/>
        <w:adjustRightInd w:val="0"/>
        <w:ind w:left="567" w:firstLine="567"/>
        <w:jc w:val="both"/>
        <w:rPr>
          <w:sz w:val="22"/>
          <w:szCs w:val="22"/>
          <w:lang w:val="uk-UA"/>
        </w:rPr>
      </w:pPr>
      <w:r w:rsidRPr="00F87E17">
        <w:rPr>
          <w:sz w:val="22"/>
          <w:szCs w:val="22"/>
          <w:lang w:val="uk-UA"/>
        </w:rPr>
        <w:t>Тендерна пропозиція містить:</w:t>
      </w:r>
    </w:p>
    <w:p w:rsidR="00832C6A" w:rsidRPr="00F87E17" w:rsidRDefault="00832C6A" w:rsidP="002C4131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 xml:space="preserve">Копії реєстраційних документів для усіх осіб згідно вимог п. 3.1. специфікації  (у т.ч. копія </w:t>
      </w:r>
      <w:r w:rsidR="00DC06FF" w:rsidRPr="00F87E17">
        <w:rPr>
          <w:rFonts w:ascii="Times New Roman" w:hAnsi="Times New Roman"/>
          <w:lang w:val="uk-UA"/>
        </w:rPr>
        <w:t>свідоцтва</w:t>
      </w:r>
      <w:r w:rsidRPr="00F87E17">
        <w:rPr>
          <w:rFonts w:ascii="Times New Roman" w:hAnsi="Times New Roman"/>
          <w:lang w:val="uk-UA"/>
        </w:rPr>
        <w:t xml:space="preserve"> про державну реєстрацію (або витяг з ЄДР) юридичних осіб, яких Учасник планує застосовувати для надання послуг, копія свідоцтва платника податків та свідоцтва реєстрації платника єдиного податку на поточний рік (має бути зареєстрований на 3 групу (або вище),  згідно із зазначеними видами діяльності у свідоцтві ФОП повинен мати право надавати послуги з  матеріально - технічного супроводу заходів), довідка статистики; Витяг із Статуту із зазначенням видів діяльності Учасника тендеру);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Інформацію щодо фактичного обсягу послуг, наданих компанією</w:t>
      </w:r>
      <w:r w:rsidR="00FE2DB2" w:rsidRPr="00F87E17">
        <w:rPr>
          <w:rFonts w:ascii="Times New Roman" w:hAnsi="Times New Roman"/>
          <w:lang w:val="uk-UA"/>
        </w:rPr>
        <w:t>-учасником тендеру протягом 201</w:t>
      </w:r>
      <w:r w:rsidR="0036388B" w:rsidRPr="00F87E17">
        <w:rPr>
          <w:rFonts w:ascii="Times New Roman" w:hAnsi="Times New Roman"/>
          <w:lang w:val="uk-UA"/>
        </w:rPr>
        <w:t>9</w:t>
      </w:r>
      <w:r w:rsidR="00DC06FF" w:rsidRPr="00F87E17">
        <w:rPr>
          <w:rFonts w:ascii="Times New Roman" w:hAnsi="Times New Roman"/>
        </w:rPr>
        <w:t>-2020</w:t>
      </w:r>
      <w:r w:rsidRPr="00F87E17">
        <w:rPr>
          <w:rFonts w:ascii="Times New Roman" w:hAnsi="Times New Roman"/>
          <w:lang w:val="uk-UA"/>
        </w:rPr>
        <w:t xml:space="preserve"> рр. (офіційний лист);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Інформацію щодо власних ресурсів, наявних у учасника тендеру для надання послуг (офіційний лист);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Перелік інших зовнішніх ресурсів з надання послуг (перелік діючих угод з готелями, конференц-залами, кейтеринговими та транспортними компаніями, тощо);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Листи-рекомендації;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Заповнені та підписані Додатки №1-3 до Специфікації;</w:t>
      </w:r>
    </w:p>
    <w:p w:rsidR="00832C6A" w:rsidRPr="00F87E17" w:rsidRDefault="00832C6A" w:rsidP="000D7DF1">
      <w:pPr>
        <w:pStyle w:val="a5"/>
        <w:numPr>
          <w:ilvl w:val="1"/>
          <w:numId w:val="1"/>
        </w:numPr>
        <w:ind w:left="1276" w:hanging="578"/>
        <w:jc w:val="both"/>
        <w:rPr>
          <w:rFonts w:ascii="Times New Roman" w:hAnsi="Times New Roman"/>
          <w:lang w:val="uk-UA"/>
        </w:rPr>
      </w:pPr>
      <w:r w:rsidRPr="00F87E17">
        <w:rPr>
          <w:rFonts w:ascii="Times New Roman" w:hAnsi="Times New Roman"/>
          <w:lang w:val="uk-UA"/>
        </w:rPr>
        <w:t>Будь-яку іншу інформацію, яка може допомогти оцінити можливості надання послуги учасником тендеру.</w:t>
      </w:r>
    </w:p>
    <w:p w:rsidR="00832C6A" w:rsidRPr="00F87E17" w:rsidRDefault="00832C6A" w:rsidP="008C391C">
      <w:pPr>
        <w:pStyle w:val="a5"/>
        <w:ind w:left="993"/>
        <w:jc w:val="both"/>
        <w:rPr>
          <w:rFonts w:ascii="Times New Roman" w:hAnsi="Times New Roman"/>
          <w:lang w:val="uk-UA"/>
        </w:rPr>
      </w:pPr>
    </w:p>
    <w:p w:rsidR="00832C6A" w:rsidRPr="00F87E17" w:rsidRDefault="00D24CC3" w:rsidP="00D24CC3">
      <w:pPr>
        <w:jc w:val="both"/>
        <w:rPr>
          <w:i/>
          <w:iCs/>
          <w:color w:val="000000"/>
          <w:sz w:val="22"/>
          <w:szCs w:val="22"/>
        </w:rPr>
      </w:pPr>
      <w:r w:rsidRPr="00F87E17">
        <w:rPr>
          <w:lang w:val="uk-UA"/>
        </w:rPr>
        <w:t>Підготовлений пакет документів на тендер, просимо надсилати в електронному вигляді (допускається застосування docs.google.com) на адресу Юлі Зелінської,</w:t>
      </w:r>
      <w:r w:rsidR="00832C6A" w:rsidRPr="00F87E17">
        <w:rPr>
          <w:i/>
          <w:iCs/>
          <w:color w:val="000000"/>
          <w:sz w:val="22"/>
          <w:szCs w:val="22"/>
          <w:lang w:val="uk-UA"/>
        </w:rPr>
        <w:t xml:space="preserve"> старшого спеціаліста адміністративного відділу</w:t>
      </w:r>
      <w:r w:rsidRPr="00F87E17">
        <w:rPr>
          <w:i/>
          <w:iCs/>
          <w:color w:val="000000"/>
          <w:sz w:val="22"/>
          <w:szCs w:val="22"/>
          <w:lang w:val="uk-UA"/>
        </w:rPr>
        <w:t xml:space="preserve"> </w:t>
      </w:r>
      <w:hyperlink r:id="rId9" w:history="1">
        <w:r w:rsidRPr="00F87E17">
          <w:rPr>
            <w:rStyle w:val="a3"/>
            <w:i/>
            <w:iCs/>
            <w:sz w:val="22"/>
            <w:szCs w:val="22"/>
            <w:lang w:val="en-US"/>
          </w:rPr>
          <w:t>zelin</w:t>
        </w:r>
        <w:r w:rsidRPr="00F87E17">
          <w:rPr>
            <w:rStyle w:val="a3"/>
            <w:i/>
            <w:iCs/>
            <w:sz w:val="22"/>
            <w:szCs w:val="22"/>
            <w:lang w:val="uk-UA"/>
          </w:rPr>
          <w:t>.</w:t>
        </w:r>
        <w:r w:rsidRPr="00F87E17">
          <w:rPr>
            <w:rStyle w:val="a3"/>
            <w:i/>
            <w:iCs/>
            <w:sz w:val="22"/>
            <w:szCs w:val="22"/>
            <w:lang w:val="en-US"/>
          </w:rPr>
          <w:t>tk</w:t>
        </w:r>
        <w:r w:rsidRPr="00F87E17">
          <w:rPr>
            <w:rStyle w:val="a3"/>
            <w:i/>
            <w:iCs/>
            <w:sz w:val="22"/>
            <w:szCs w:val="22"/>
          </w:rPr>
          <w:t>@</w:t>
        </w:r>
        <w:r w:rsidRPr="00F87E17">
          <w:rPr>
            <w:rStyle w:val="a3"/>
            <w:i/>
            <w:iCs/>
            <w:sz w:val="22"/>
            <w:szCs w:val="22"/>
            <w:lang w:val="en-US"/>
          </w:rPr>
          <w:t>gmail</w:t>
        </w:r>
        <w:r w:rsidRPr="00F87E17">
          <w:rPr>
            <w:rStyle w:val="a3"/>
            <w:i/>
            <w:iCs/>
            <w:sz w:val="22"/>
            <w:szCs w:val="22"/>
          </w:rPr>
          <w:t>.</w:t>
        </w:r>
        <w:r w:rsidRPr="00F87E17">
          <w:rPr>
            <w:rStyle w:val="a3"/>
            <w:i/>
            <w:iCs/>
            <w:sz w:val="22"/>
            <w:szCs w:val="22"/>
            <w:lang w:val="en-US"/>
          </w:rPr>
          <w:t>com</w:t>
        </w:r>
      </w:hyperlink>
      <w:r w:rsidRPr="00F87E17">
        <w:rPr>
          <w:i/>
          <w:iCs/>
          <w:color w:val="000000"/>
          <w:sz w:val="22"/>
          <w:szCs w:val="22"/>
        </w:rPr>
        <w:t xml:space="preserve"> </w:t>
      </w:r>
    </w:p>
    <w:p w:rsidR="00D24CC3" w:rsidRPr="00F87E17" w:rsidRDefault="00D24CC3" w:rsidP="00D24CC3">
      <w:pPr>
        <w:jc w:val="both"/>
        <w:rPr>
          <w:i/>
          <w:iCs/>
          <w:color w:val="000000"/>
          <w:sz w:val="22"/>
          <w:szCs w:val="22"/>
          <w:lang w:val="uk-UA"/>
        </w:rPr>
      </w:pPr>
    </w:p>
    <w:p w:rsidR="00D24CC3" w:rsidRPr="00D24CC3" w:rsidRDefault="00D24CC3" w:rsidP="00D24CC3">
      <w:pPr>
        <w:jc w:val="both"/>
        <w:rPr>
          <w:color w:val="000000"/>
          <w:sz w:val="22"/>
          <w:szCs w:val="22"/>
          <w:lang w:val="uk-UA"/>
        </w:rPr>
      </w:pPr>
      <w:r w:rsidRPr="00F87E17">
        <w:rPr>
          <w:i/>
          <w:iCs/>
          <w:color w:val="000000"/>
          <w:sz w:val="22"/>
          <w:szCs w:val="22"/>
          <w:lang w:val="uk-UA"/>
        </w:rPr>
        <w:t xml:space="preserve">Тема листа: </w:t>
      </w:r>
      <w:r w:rsidRPr="00F87E17">
        <w:rPr>
          <w:b/>
          <w:iCs/>
          <w:color w:val="000000"/>
          <w:sz w:val="22"/>
          <w:szCs w:val="22"/>
          <w:lang w:val="uk-UA"/>
        </w:rPr>
        <w:t xml:space="preserve">Тендер  </w:t>
      </w:r>
      <w:r w:rsidRPr="00F87E17">
        <w:rPr>
          <w:b/>
          <w:iCs/>
          <w:color w:val="161515"/>
          <w:sz w:val="22"/>
          <w:szCs w:val="22"/>
          <w:lang w:val="uk-UA"/>
        </w:rPr>
        <w:t>13</w:t>
      </w:r>
      <w:r w:rsidRPr="00F87E17">
        <w:rPr>
          <w:b/>
          <w:iCs/>
          <w:color w:val="161515"/>
          <w:sz w:val="22"/>
          <w:szCs w:val="22"/>
        </w:rPr>
        <w:t>-20</w:t>
      </w:r>
      <w:r w:rsidRPr="00F87E17">
        <w:rPr>
          <w:b/>
          <w:iCs/>
          <w:color w:val="161515"/>
          <w:sz w:val="22"/>
          <w:szCs w:val="22"/>
          <w:lang w:val="uk-UA"/>
        </w:rPr>
        <w:t>20</w:t>
      </w:r>
      <w:r w:rsidRPr="00F87E17">
        <w:rPr>
          <w:b/>
          <w:iCs/>
          <w:color w:val="161515"/>
          <w:sz w:val="22"/>
          <w:szCs w:val="22"/>
        </w:rPr>
        <w:t>-</w:t>
      </w:r>
      <w:r w:rsidRPr="00F87E17">
        <w:rPr>
          <w:b/>
          <w:iCs/>
          <w:color w:val="161515"/>
          <w:sz w:val="22"/>
          <w:szCs w:val="22"/>
          <w:lang w:val="en-US"/>
        </w:rPr>
        <w:t>Admin</w:t>
      </w:r>
      <w:r w:rsidRPr="00F87E17">
        <w:rPr>
          <w:b/>
          <w:iCs/>
          <w:color w:val="161515"/>
          <w:sz w:val="22"/>
          <w:szCs w:val="22"/>
          <w:lang w:val="uk-UA"/>
        </w:rPr>
        <w:t xml:space="preserve"> від (назва учасника).</w:t>
      </w:r>
    </w:p>
    <w:p w:rsidR="00832C6A" w:rsidRPr="002433AE" w:rsidRDefault="00832C6A" w:rsidP="0096252A">
      <w:pPr>
        <w:pStyle w:val="1"/>
        <w:widowControl/>
        <w:spacing w:before="240" w:after="60" w:line="240" w:lineRule="auto"/>
        <w:ind w:right="708"/>
        <w:jc w:val="center"/>
        <w:rPr>
          <w:sz w:val="22"/>
          <w:szCs w:val="22"/>
        </w:rPr>
      </w:pPr>
      <w:bookmarkStart w:id="1" w:name="_GoBack"/>
      <w:bookmarkEnd w:id="1"/>
      <w:r w:rsidRPr="002433AE">
        <w:rPr>
          <w:rFonts w:ascii="Arial" w:hAnsi="Arial" w:cs="Arial"/>
        </w:rPr>
        <w:br w:type="page"/>
      </w:r>
      <w:r w:rsidRPr="002433AE">
        <w:rPr>
          <w:sz w:val="22"/>
          <w:szCs w:val="22"/>
        </w:rPr>
        <w:lastRenderedPageBreak/>
        <w:t>Додаток 1 до Специфікації на надання послуг з  матеріально - технічного супроводу заходів за безготівковим розрахунком</w:t>
      </w:r>
    </w:p>
    <w:p w:rsidR="00832C6A" w:rsidRPr="002433AE" w:rsidRDefault="00832C6A" w:rsidP="00066313">
      <w:pPr>
        <w:pStyle w:val="1"/>
        <w:widowControl/>
        <w:spacing w:before="240" w:after="60" w:line="240" w:lineRule="auto"/>
        <w:ind w:right="708"/>
        <w:jc w:val="center"/>
        <w:rPr>
          <w:strike/>
          <w:sz w:val="22"/>
          <w:szCs w:val="22"/>
        </w:rPr>
      </w:pPr>
      <w:r w:rsidRPr="002433AE">
        <w:rPr>
          <w:sz w:val="22"/>
          <w:szCs w:val="22"/>
        </w:rPr>
        <w:t xml:space="preserve">Загальна інформація про </w:t>
      </w:r>
      <w:r w:rsidRPr="002433AE">
        <w:rPr>
          <w:sz w:val="22"/>
          <w:szCs w:val="22"/>
          <w:lang w:val="uk-UA"/>
        </w:rPr>
        <w:t xml:space="preserve">Учасника </w:t>
      </w:r>
      <w:r w:rsidRPr="002433AE">
        <w:rPr>
          <w:strike/>
          <w:sz w:val="22"/>
          <w:szCs w:val="22"/>
        </w:rPr>
        <w:t>компанію</w:t>
      </w:r>
    </w:p>
    <w:p w:rsidR="00832C6A" w:rsidRPr="002433AE" w:rsidRDefault="00832C6A" w:rsidP="00066313">
      <w:pPr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103"/>
      </w:tblGrid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 xml:space="preserve">Повна назва </w:t>
            </w: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B222B1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 xml:space="preserve">Дата реєстрації  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>Факс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>Веб-сторінка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>Електронна</w:t>
            </w:r>
            <w:r w:rsidRPr="002433AE">
              <w:rPr>
                <w:sz w:val="20"/>
                <w:szCs w:val="20"/>
              </w:rPr>
              <w:t xml:space="preserve"> </w:t>
            </w:r>
            <w:r w:rsidRPr="002433AE">
              <w:rPr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 xml:space="preserve">Контактна особа  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B222B1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 xml:space="preserve">Місцезнаходження  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 xml:space="preserve">Свідоцтво платника податку  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>Банківські реквізити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>Основні види діяльності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>Ліцензії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>Кількість співробітників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62323A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B222B1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>Перелік афілійованих осіб ( в т.ч.фізичних осіб – підприємців), які буде залучено до співпраці: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6232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C6A" w:rsidRPr="002433AE" w:rsidRDefault="00832C6A" w:rsidP="001A71CE">
            <w:pPr>
              <w:tabs>
                <w:tab w:val="left" w:pos="4110"/>
              </w:tabs>
              <w:ind w:right="34"/>
              <w:jc w:val="both"/>
              <w:rPr>
                <w:sz w:val="20"/>
                <w:szCs w:val="20"/>
                <w:lang w:val="uk-UA"/>
              </w:rPr>
            </w:pPr>
          </w:p>
          <w:p w:rsidR="00832C6A" w:rsidRPr="002433AE" w:rsidRDefault="00832C6A" w:rsidP="00B222B1">
            <w:pPr>
              <w:ind w:right="34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 xml:space="preserve">Приблизна кількість заходів, що була організована Учасником тендеру протягом 2017 р. 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832C6A" w:rsidRPr="002433AE" w:rsidRDefault="00832C6A" w:rsidP="00066313">
      <w:pPr>
        <w:ind w:right="708"/>
        <w:jc w:val="both"/>
        <w:rPr>
          <w:sz w:val="20"/>
          <w:szCs w:val="20"/>
          <w:lang w:val="uk-UA"/>
        </w:rPr>
      </w:pPr>
    </w:p>
    <w:p w:rsidR="00832C6A" w:rsidRPr="002433AE" w:rsidRDefault="00832C6A" w:rsidP="00066313">
      <w:pPr>
        <w:ind w:right="708"/>
        <w:jc w:val="both"/>
        <w:rPr>
          <w:sz w:val="20"/>
          <w:szCs w:val="20"/>
          <w:lang w:val="uk-UA"/>
        </w:rPr>
      </w:pPr>
      <w:r w:rsidRPr="002433AE">
        <w:rPr>
          <w:sz w:val="20"/>
          <w:szCs w:val="20"/>
          <w:lang w:val="uk-UA"/>
        </w:rPr>
        <w:t>Перелік постійних клієнтів:</w:t>
      </w:r>
    </w:p>
    <w:p w:rsidR="00832C6A" w:rsidRPr="002433AE" w:rsidRDefault="00832C6A" w:rsidP="00066313">
      <w:pPr>
        <w:ind w:right="708"/>
        <w:jc w:val="both"/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625"/>
        <w:gridCol w:w="1956"/>
        <w:gridCol w:w="2018"/>
        <w:gridCol w:w="2038"/>
      </w:tblGrid>
      <w:tr w:rsidR="00832C6A" w:rsidRPr="002433AE" w:rsidTr="001A71CE">
        <w:tc>
          <w:tcPr>
            <w:tcW w:w="1134" w:type="dxa"/>
          </w:tcPr>
          <w:p w:rsidR="00832C6A" w:rsidRPr="002433AE" w:rsidRDefault="00832C6A" w:rsidP="0062323A">
            <w:pPr>
              <w:spacing w:line="480" w:lineRule="auto"/>
              <w:ind w:right="708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625" w:type="dxa"/>
          </w:tcPr>
          <w:p w:rsidR="00832C6A" w:rsidRPr="002433AE" w:rsidRDefault="00832C6A" w:rsidP="0062323A">
            <w:pPr>
              <w:ind w:right="708"/>
              <w:jc w:val="center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>Назва компанії</w:t>
            </w:r>
          </w:p>
        </w:tc>
        <w:tc>
          <w:tcPr>
            <w:tcW w:w="1956" w:type="dxa"/>
          </w:tcPr>
          <w:p w:rsidR="00832C6A" w:rsidRPr="002433AE" w:rsidRDefault="00832C6A" w:rsidP="0062323A">
            <w:pPr>
              <w:ind w:right="708"/>
              <w:jc w:val="center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>Кількість заходів на рік</w:t>
            </w:r>
          </w:p>
        </w:tc>
        <w:tc>
          <w:tcPr>
            <w:tcW w:w="2018" w:type="dxa"/>
          </w:tcPr>
          <w:p w:rsidR="00832C6A" w:rsidRPr="002433AE" w:rsidRDefault="00832C6A" w:rsidP="0062323A">
            <w:pPr>
              <w:ind w:right="708"/>
              <w:jc w:val="center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>Контактна особа в компанії</w:t>
            </w:r>
          </w:p>
        </w:tc>
        <w:tc>
          <w:tcPr>
            <w:tcW w:w="2038" w:type="dxa"/>
          </w:tcPr>
          <w:p w:rsidR="00832C6A" w:rsidRPr="002433AE" w:rsidRDefault="00832C6A" w:rsidP="0062323A">
            <w:pPr>
              <w:ind w:right="708"/>
              <w:jc w:val="center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 xml:space="preserve">Телефон контактної особи </w:t>
            </w:r>
          </w:p>
        </w:tc>
      </w:tr>
      <w:tr w:rsidR="00832C6A" w:rsidRPr="002433AE" w:rsidTr="001A71CE">
        <w:tc>
          <w:tcPr>
            <w:tcW w:w="1134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5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56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018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038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1A71CE">
        <w:tc>
          <w:tcPr>
            <w:tcW w:w="1134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5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56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018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038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32C6A" w:rsidRPr="002433AE" w:rsidTr="001A71CE">
        <w:tc>
          <w:tcPr>
            <w:tcW w:w="1134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5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56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018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038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832C6A" w:rsidRPr="002433AE" w:rsidRDefault="00832C6A" w:rsidP="00066313">
      <w:pPr>
        <w:ind w:right="708"/>
        <w:jc w:val="both"/>
        <w:rPr>
          <w:sz w:val="20"/>
          <w:szCs w:val="20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51"/>
        <w:gridCol w:w="5530"/>
      </w:tblGrid>
      <w:tr w:rsidR="00832C6A" w:rsidRPr="002433AE" w:rsidTr="00143F3A">
        <w:tc>
          <w:tcPr>
            <w:tcW w:w="4318" w:type="dxa"/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  <w:lang w:val="uk-UA"/>
              </w:rPr>
            </w:pPr>
            <w:r w:rsidRPr="002433AE">
              <w:rPr>
                <w:sz w:val="20"/>
                <w:szCs w:val="20"/>
                <w:lang w:val="uk-UA"/>
              </w:rPr>
              <w:t xml:space="preserve">Інша додаткова інформація </w:t>
            </w:r>
          </w:p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</w:rPr>
            </w:pPr>
          </w:p>
        </w:tc>
        <w:tc>
          <w:tcPr>
            <w:tcW w:w="5679" w:type="dxa"/>
            <w:tcBorders>
              <w:bottom w:val="single" w:sz="4" w:space="0" w:color="auto"/>
            </w:tcBorders>
          </w:tcPr>
          <w:p w:rsidR="00832C6A" w:rsidRPr="002433AE" w:rsidRDefault="00832C6A" w:rsidP="0062323A">
            <w:pPr>
              <w:ind w:right="708"/>
              <w:jc w:val="both"/>
              <w:rPr>
                <w:sz w:val="20"/>
                <w:szCs w:val="20"/>
              </w:rPr>
            </w:pPr>
          </w:p>
        </w:tc>
      </w:tr>
    </w:tbl>
    <w:p w:rsidR="00832C6A" w:rsidRPr="002433AE" w:rsidRDefault="00832C6A" w:rsidP="00066313">
      <w:pPr>
        <w:ind w:right="708"/>
        <w:jc w:val="both"/>
        <w:rPr>
          <w:sz w:val="20"/>
          <w:szCs w:val="20"/>
        </w:rPr>
      </w:pPr>
    </w:p>
    <w:p w:rsidR="00832C6A" w:rsidRPr="002433AE" w:rsidRDefault="00832C6A" w:rsidP="00066313">
      <w:pPr>
        <w:ind w:right="708"/>
        <w:jc w:val="both"/>
        <w:rPr>
          <w:sz w:val="20"/>
          <w:szCs w:val="20"/>
          <w:lang w:val="uk-UA"/>
        </w:rPr>
      </w:pPr>
    </w:p>
    <w:p w:rsidR="00832C6A" w:rsidRPr="002433AE" w:rsidRDefault="00832C6A" w:rsidP="00066313">
      <w:pPr>
        <w:suppressAutoHyphens/>
        <w:ind w:right="708"/>
        <w:jc w:val="both"/>
        <w:rPr>
          <w:sz w:val="20"/>
          <w:szCs w:val="20"/>
        </w:rPr>
      </w:pPr>
      <w:r w:rsidRPr="002433AE">
        <w:rPr>
          <w:sz w:val="20"/>
          <w:szCs w:val="20"/>
          <w:lang w:val="uk-UA"/>
        </w:rPr>
        <w:t>Дата: ________________ 20... р.</w:t>
      </w:r>
    </w:p>
    <w:p w:rsidR="00832C6A" w:rsidRPr="002433AE" w:rsidRDefault="00832C6A" w:rsidP="00066313">
      <w:pPr>
        <w:suppressAutoHyphens/>
        <w:ind w:right="708"/>
        <w:jc w:val="both"/>
        <w:rPr>
          <w:sz w:val="20"/>
          <w:szCs w:val="20"/>
        </w:rPr>
      </w:pPr>
    </w:p>
    <w:p w:rsidR="00832C6A" w:rsidRPr="002433AE" w:rsidRDefault="00832C6A" w:rsidP="00066313">
      <w:pPr>
        <w:suppressAutoHyphens/>
        <w:ind w:right="708"/>
        <w:jc w:val="both"/>
        <w:rPr>
          <w:sz w:val="20"/>
          <w:szCs w:val="20"/>
        </w:rPr>
      </w:pPr>
    </w:p>
    <w:p w:rsidR="00832C6A" w:rsidRPr="002433AE" w:rsidRDefault="00832C6A" w:rsidP="00066313">
      <w:pPr>
        <w:tabs>
          <w:tab w:val="right" w:pos="3600"/>
          <w:tab w:val="right" w:pos="4320"/>
          <w:tab w:val="right" w:pos="8640"/>
        </w:tabs>
        <w:suppressAutoHyphens/>
        <w:ind w:right="708"/>
        <w:jc w:val="both"/>
        <w:rPr>
          <w:sz w:val="20"/>
          <w:szCs w:val="20"/>
        </w:rPr>
      </w:pPr>
      <w:r w:rsidRPr="002433AE">
        <w:rPr>
          <w:sz w:val="20"/>
          <w:szCs w:val="20"/>
          <w:u w:val="single"/>
        </w:rPr>
        <w:tab/>
      </w:r>
      <w:r w:rsidRPr="002433AE">
        <w:rPr>
          <w:sz w:val="20"/>
          <w:szCs w:val="20"/>
        </w:rPr>
        <w:tab/>
      </w:r>
      <w:r w:rsidRPr="002433AE">
        <w:rPr>
          <w:sz w:val="20"/>
          <w:szCs w:val="20"/>
          <w:u w:val="single"/>
        </w:rPr>
        <w:tab/>
      </w:r>
    </w:p>
    <w:p w:rsidR="00832C6A" w:rsidRPr="002433AE" w:rsidRDefault="00832C6A" w:rsidP="00066313">
      <w:pPr>
        <w:tabs>
          <w:tab w:val="left" w:pos="4320"/>
        </w:tabs>
        <w:suppressAutoHyphens/>
        <w:ind w:right="708"/>
        <w:jc w:val="both"/>
        <w:rPr>
          <w:sz w:val="20"/>
          <w:szCs w:val="20"/>
        </w:rPr>
      </w:pPr>
      <w:r w:rsidRPr="002433AE">
        <w:rPr>
          <w:i/>
          <w:iCs/>
          <w:sz w:val="20"/>
          <w:szCs w:val="20"/>
          <w:lang w:val="uk-UA"/>
        </w:rPr>
        <w:t>[підпис]</w:t>
      </w:r>
      <w:r w:rsidRPr="002433AE">
        <w:rPr>
          <w:i/>
          <w:iCs/>
          <w:sz w:val="20"/>
          <w:szCs w:val="20"/>
          <w:lang w:val="uk-UA"/>
        </w:rPr>
        <w:tab/>
        <w:t>[що виступає у якості]</w:t>
      </w:r>
    </w:p>
    <w:p w:rsidR="00832C6A" w:rsidRPr="002433AE" w:rsidRDefault="00832C6A" w:rsidP="00066313">
      <w:pPr>
        <w:suppressAutoHyphens/>
        <w:ind w:right="708"/>
        <w:jc w:val="both"/>
        <w:rPr>
          <w:sz w:val="20"/>
          <w:szCs w:val="20"/>
        </w:rPr>
      </w:pPr>
    </w:p>
    <w:p w:rsidR="00832C6A" w:rsidRPr="002433AE" w:rsidRDefault="00832C6A" w:rsidP="00066313">
      <w:pPr>
        <w:tabs>
          <w:tab w:val="right" w:pos="8640"/>
        </w:tabs>
        <w:suppressAutoHyphens/>
        <w:ind w:right="708"/>
        <w:jc w:val="both"/>
        <w:rPr>
          <w:sz w:val="20"/>
          <w:szCs w:val="20"/>
          <w:lang w:val="uk-UA"/>
        </w:rPr>
      </w:pPr>
      <w:r w:rsidRPr="002433AE">
        <w:rPr>
          <w:sz w:val="20"/>
          <w:szCs w:val="20"/>
          <w:lang w:val="uk-UA"/>
        </w:rPr>
        <w:t xml:space="preserve">Що має належні повноваження на підписання Заявки від імені та за дорученням </w:t>
      </w:r>
    </w:p>
    <w:p w:rsidR="00832C6A" w:rsidRPr="002433AE" w:rsidRDefault="00832C6A" w:rsidP="00066313">
      <w:pPr>
        <w:tabs>
          <w:tab w:val="right" w:pos="8640"/>
        </w:tabs>
        <w:suppressAutoHyphens/>
        <w:ind w:right="708"/>
        <w:jc w:val="both"/>
        <w:rPr>
          <w:sz w:val="20"/>
          <w:szCs w:val="20"/>
          <w:u w:val="single"/>
          <w:lang w:val="uk-UA"/>
        </w:rPr>
      </w:pPr>
    </w:p>
    <w:p w:rsidR="00832C6A" w:rsidRPr="002433AE" w:rsidRDefault="00832C6A" w:rsidP="00066313">
      <w:pPr>
        <w:tabs>
          <w:tab w:val="right" w:pos="8640"/>
        </w:tabs>
        <w:suppressAutoHyphens/>
        <w:ind w:right="708"/>
        <w:jc w:val="both"/>
        <w:rPr>
          <w:sz w:val="20"/>
          <w:szCs w:val="20"/>
          <w:u w:val="single"/>
          <w:lang w:val="uk-UA"/>
        </w:rPr>
      </w:pPr>
      <w:r w:rsidRPr="002433AE">
        <w:rPr>
          <w:sz w:val="20"/>
          <w:szCs w:val="20"/>
          <w:u w:val="single"/>
          <w:lang w:val="uk-UA"/>
        </w:rPr>
        <w:t>_________________________________________________________________</w:t>
      </w:r>
    </w:p>
    <w:p w:rsidR="00832C6A" w:rsidRPr="002433AE" w:rsidRDefault="00832C6A" w:rsidP="00066313">
      <w:pPr>
        <w:pStyle w:val="1"/>
        <w:widowControl/>
        <w:spacing w:before="240" w:after="60" w:line="240" w:lineRule="auto"/>
        <w:ind w:right="708"/>
        <w:jc w:val="center"/>
        <w:rPr>
          <w:iCs w:val="0"/>
          <w:kern w:val="32"/>
          <w:sz w:val="22"/>
          <w:szCs w:val="22"/>
        </w:rPr>
      </w:pPr>
      <w:r w:rsidRPr="002433AE">
        <w:rPr>
          <w:sz w:val="22"/>
          <w:szCs w:val="22"/>
        </w:rPr>
        <w:lastRenderedPageBreak/>
        <w:t>Додаток 2 до Специфікації на надання послуг з  матеріально - технічного супроводу заходів за безготівковим розрахунком</w:t>
      </w:r>
    </w:p>
    <w:p w:rsidR="00832C6A" w:rsidRPr="002433AE" w:rsidRDefault="00832C6A" w:rsidP="00066313">
      <w:pPr>
        <w:ind w:right="708"/>
        <w:rPr>
          <w:sz w:val="22"/>
          <w:szCs w:val="22"/>
        </w:rPr>
      </w:pPr>
    </w:p>
    <w:p w:rsidR="00832C6A" w:rsidRPr="002433AE" w:rsidRDefault="00832C6A" w:rsidP="00066313">
      <w:pPr>
        <w:ind w:right="708"/>
        <w:jc w:val="both"/>
        <w:rPr>
          <w:sz w:val="22"/>
          <w:szCs w:val="22"/>
        </w:rPr>
      </w:pPr>
      <w:r w:rsidRPr="002433AE">
        <w:rPr>
          <w:sz w:val="22"/>
          <w:szCs w:val="22"/>
          <w:lang w:val="uk-UA"/>
        </w:rPr>
        <w:t>Відсоток знижок, які надаються на проживання у готелях, повинен бути незміннім (окрім зміни у сторону збільшення) на весь термін дії договору</w:t>
      </w:r>
    </w:p>
    <w:p w:rsidR="00832C6A" w:rsidRPr="002433AE" w:rsidRDefault="00832C6A" w:rsidP="00066313">
      <w:pPr>
        <w:suppressAutoHyphens/>
        <w:ind w:right="708"/>
        <w:jc w:val="both"/>
        <w:rPr>
          <w:sz w:val="22"/>
          <w:szCs w:val="22"/>
        </w:rPr>
      </w:pPr>
    </w:p>
    <w:tbl>
      <w:tblPr>
        <w:tblW w:w="9543" w:type="dxa"/>
        <w:tblInd w:w="93" w:type="dxa"/>
        <w:tblLook w:val="00A0" w:firstRow="1" w:lastRow="0" w:firstColumn="1" w:lastColumn="0" w:noHBand="0" w:noVBand="0"/>
      </w:tblPr>
      <w:tblGrid>
        <w:gridCol w:w="5289"/>
        <w:gridCol w:w="1418"/>
        <w:gridCol w:w="1418"/>
        <w:gridCol w:w="1418"/>
      </w:tblGrid>
      <w:tr w:rsidR="00832C6A" w:rsidRPr="002433AE" w:rsidTr="00732978">
        <w:trPr>
          <w:trHeight w:val="1200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32C6A" w:rsidRPr="002433AE" w:rsidRDefault="00832C6A" w:rsidP="00732978">
            <w:pPr>
              <w:rPr>
                <w:b/>
                <w:bCs/>
                <w:color w:val="000000"/>
                <w:sz w:val="20"/>
                <w:lang w:val="uk-UA"/>
              </w:rPr>
            </w:pPr>
            <w:r w:rsidRPr="002433AE">
              <w:rPr>
                <w:b/>
                <w:bCs/>
                <w:color w:val="000000"/>
                <w:sz w:val="20"/>
                <w:lang w:val="uk-UA"/>
              </w:rPr>
              <w:t>Назва готелю, готельного комплексу, бази відпочинку, ін.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832C6A" w:rsidRPr="002433AE" w:rsidRDefault="00832C6A" w:rsidP="00732978">
            <w:pPr>
              <w:rPr>
                <w:b/>
                <w:bCs/>
                <w:sz w:val="20"/>
                <w:lang w:val="uk-UA"/>
              </w:rPr>
            </w:pPr>
            <w:r w:rsidRPr="002433AE">
              <w:rPr>
                <w:b/>
                <w:bCs/>
                <w:sz w:val="20"/>
                <w:lang w:val="uk-UA"/>
              </w:rPr>
              <w:t>Розмір знижки, що надається на групи від 1 до 5 чол.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832C6A" w:rsidRPr="002433AE" w:rsidRDefault="00832C6A" w:rsidP="00732978">
            <w:pPr>
              <w:rPr>
                <w:b/>
                <w:bCs/>
                <w:sz w:val="20"/>
                <w:lang w:val="uk-UA"/>
              </w:rPr>
            </w:pPr>
            <w:r w:rsidRPr="002433AE">
              <w:rPr>
                <w:b/>
                <w:bCs/>
                <w:sz w:val="20"/>
                <w:lang w:val="uk-UA"/>
              </w:rPr>
              <w:t>Розмір знижки, що надається на групи від 6-до 20 чол.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32C6A" w:rsidRPr="002433AE" w:rsidRDefault="00832C6A" w:rsidP="00732978">
            <w:pPr>
              <w:rPr>
                <w:b/>
                <w:bCs/>
                <w:color w:val="FF0000"/>
                <w:sz w:val="20"/>
                <w:lang w:val="uk-UA"/>
              </w:rPr>
            </w:pPr>
            <w:r w:rsidRPr="002433AE">
              <w:rPr>
                <w:b/>
                <w:bCs/>
                <w:sz w:val="20"/>
                <w:lang w:val="uk-UA"/>
              </w:rPr>
              <w:t>Розмір знижки, що надається на групи понад 20 чол. (%)</w:t>
            </w: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832C6A" w:rsidRPr="002433AE" w:rsidRDefault="00832C6A" w:rsidP="00732978">
            <w:pPr>
              <w:rPr>
                <w:b/>
                <w:bCs/>
                <w:color w:val="000000"/>
                <w:sz w:val="20"/>
                <w:lang w:val="uk-UA"/>
              </w:rPr>
            </w:pPr>
            <w:r w:rsidRPr="002433AE">
              <w:rPr>
                <w:b/>
                <w:bCs/>
                <w:color w:val="000000"/>
                <w:sz w:val="20"/>
                <w:lang w:val="uk-UA"/>
              </w:rPr>
              <w:t>м. Київ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«Голосіївський»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«Амарант»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«Експрес»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«Русь»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«Мир»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«Братислава»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Готельний комплекс «Борисфен»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«Алфавіто»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«Ібіс»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«Хрещатик»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262F9C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F9C" w:rsidRPr="00666A18" w:rsidRDefault="00262F9C" w:rsidP="00666A18">
            <w:pPr>
              <w:rPr>
                <w:rStyle w:val="a3"/>
              </w:rPr>
            </w:pPr>
            <w:r w:rsidRPr="00666A18">
              <w:fldChar w:fldCharType="begin"/>
            </w:r>
            <w:r w:rsidRPr="00666A18">
              <w:instrText xml:space="preserve"> HYPERLINK "https://reikartz.com/ru/hotels/" </w:instrText>
            </w:r>
            <w:r w:rsidRPr="00666A18">
              <w:fldChar w:fldCharType="separate"/>
            </w:r>
          </w:p>
          <w:p w:rsidR="00262F9C" w:rsidRPr="002433AE" w:rsidRDefault="00262F9C" w:rsidP="00666A18">
            <w:pPr>
              <w:rPr>
                <w:color w:val="000000"/>
                <w:sz w:val="20"/>
                <w:lang w:val="uk-UA"/>
              </w:rPr>
            </w:pPr>
            <w:r w:rsidRPr="00666A18">
              <w:rPr>
                <w:rStyle w:val="a3"/>
              </w:rPr>
              <w:t>Reikartz Hotel Group</w:t>
            </w:r>
            <w:r w:rsidRPr="00666A18"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F9C" w:rsidRPr="002433AE" w:rsidRDefault="00262F9C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F9C" w:rsidRPr="002433AE" w:rsidRDefault="00262F9C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F9C" w:rsidRPr="002433AE" w:rsidRDefault="00262F9C" w:rsidP="00732978">
            <w:pPr>
              <w:rPr>
                <w:color w:val="000000"/>
                <w:sz w:val="20"/>
                <w:lang w:val="uk-UA"/>
              </w:rPr>
            </w:pP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832C6A" w:rsidRPr="002433AE" w:rsidRDefault="00832C6A" w:rsidP="001F2F23">
            <w:pPr>
              <w:rPr>
                <w:b/>
                <w:bCs/>
                <w:color w:val="000000"/>
                <w:sz w:val="20"/>
                <w:lang w:val="uk-UA"/>
              </w:rPr>
            </w:pPr>
            <w:r w:rsidRPr="002433AE">
              <w:rPr>
                <w:b/>
                <w:bCs/>
                <w:color w:val="000000"/>
                <w:sz w:val="20"/>
                <w:lang w:val="uk-UA"/>
              </w:rPr>
              <w:t>м. Львів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Готель ibis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394FF1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Central hotel Lviv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394FF1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British Club Lviv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832C6A" w:rsidRPr="002433AE" w:rsidRDefault="00832C6A" w:rsidP="008E1691">
            <w:pPr>
              <w:rPr>
                <w:b/>
                <w:bCs/>
                <w:color w:val="000000"/>
                <w:sz w:val="20"/>
                <w:lang w:val="uk-UA"/>
              </w:rPr>
            </w:pPr>
            <w:r w:rsidRPr="002433AE">
              <w:rPr>
                <w:b/>
                <w:bCs/>
                <w:color w:val="000000"/>
                <w:sz w:val="20"/>
                <w:lang w:val="uk-UA"/>
              </w:rPr>
              <w:t>м. Краматорськ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1321DD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Comfort Park Hotel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832C6A" w:rsidRPr="002433AE" w:rsidRDefault="00832C6A" w:rsidP="00732978">
            <w:pPr>
              <w:rPr>
                <w:b/>
                <w:bCs/>
                <w:color w:val="000000"/>
                <w:sz w:val="20"/>
                <w:lang w:val="uk-UA"/>
              </w:rPr>
            </w:pPr>
            <w:r w:rsidRPr="002433AE">
              <w:rPr>
                <w:b/>
                <w:bCs/>
                <w:color w:val="000000"/>
                <w:sz w:val="20"/>
                <w:lang w:val="uk-UA"/>
              </w:rPr>
              <w:t xml:space="preserve">м. </w:t>
            </w:r>
            <w:r w:rsidRPr="002433AE">
              <w:rPr>
                <w:b/>
                <w:color w:val="000000"/>
                <w:sz w:val="20"/>
                <w:lang w:val="uk-UA"/>
              </w:rPr>
              <w:t>Черкаси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AA036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«Дніпро»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07253C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07253C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«Україна»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07253C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07253C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07253C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AA036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«Апельсин»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732978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832C6A" w:rsidRPr="002433AE" w:rsidRDefault="00832C6A" w:rsidP="00732978">
            <w:pPr>
              <w:rPr>
                <w:b/>
                <w:bCs/>
                <w:color w:val="000000"/>
                <w:sz w:val="20"/>
                <w:lang w:val="uk-UA"/>
              </w:rPr>
            </w:pPr>
            <w:r w:rsidRPr="002433AE">
              <w:rPr>
                <w:b/>
                <w:bCs/>
                <w:color w:val="000000"/>
                <w:sz w:val="20"/>
                <w:lang w:val="uk-UA"/>
              </w:rPr>
              <w:t xml:space="preserve">м. </w:t>
            </w:r>
            <w:r w:rsidRPr="002433AE">
              <w:rPr>
                <w:b/>
                <w:color w:val="000000"/>
                <w:sz w:val="20"/>
                <w:lang w:val="uk-UA"/>
              </w:rPr>
              <w:t>Чернівці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832C6A" w:rsidRPr="002433AE" w:rsidRDefault="00832C6A" w:rsidP="00732978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242CAA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Bukovyna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242CAA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Allure Inn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  <w:tr w:rsidR="00832C6A" w:rsidRPr="002433AE" w:rsidTr="00242CAA">
        <w:trPr>
          <w:trHeight w:val="240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Готель Gold Georg Palace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2C6A" w:rsidRPr="002433AE" w:rsidRDefault="00832C6A" w:rsidP="00A7672B">
            <w:pPr>
              <w:rPr>
                <w:color w:val="000000"/>
                <w:sz w:val="20"/>
                <w:lang w:val="uk-UA"/>
              </w:rPr>
            </w:pPr>
            <w:r w:rsidRPr="002433AE">
              <w:rPr>
                <w:color w:val="000000"/>
                <w:sz w:val="20"/>
                <w:lang w:val="uk-UA"/>
              </w:rPr>
              <w:t> </w:t>
            </w:r>
          </w:p>
        </w:tc>
      </w:tr>
    </w:tbl>
    <w:p w:rsidR="00832C6A" w:rsidRPr="002433AE" w:rsidRDefault="00832C6A" w:rsidP="007D1574">
      <w:pPr>
        <w:suppressAutoHyphens/>
        <w:ind w:right="708"/>
        <w:jc w:val="both"/>
        <w:rPr>
          <w:rFonts w:ascii="Arial" w:hAnsi="Arial" w:cs="Arial"/>
        </w:rPr>
      </w:pPr>
    </w:p>
    <w:p w:rsidR="00832C6A" w:rsidRPr="002433AE" w:rsidRDefault="00832C6A" w:rsidP="007D1574">
      <w:pPr>
        <w:suppressAutoHyphens/>
        <w:ind w:right="708"/>
        <w:jc w:val="both"/>
        <w:rPr>
          <w:rFonts w:ascii="Arial" w:hAnsi="Arial" w:cs="Arial"/>
        </w:rPr>
      </w:pPr>
    </w:p>
    <w:p w:rsidR="00832C6A" w:rsidRPr="002433AE" w:rsidRDefault="00832C6A" w:rsidP="00485DAA">
      <w:pPr>
        <w:suppressAutoHyphens/>
        <w:ind w:left="284" w:right="708"/>
        <w:jc w:val="both"/>
        <w:rPr>
          <w:sz w:val="22"/>
          <w:szCs w:val="22"/>
          <w:lang w:val="en-GB"/>
        </w:rPr>
      </w:pPr>
      <w:r w:rsidRPr="002433AE">
        <w:rPr>
          <w:sz w:val="22"/>
          <w:szCs w:val="22"/>
          <w:lang w:val="uk-UA"/>
        </w:rPr>
        <w:t>Дата: ________________ 20... р.</w:t>
      </w:r>
    </w:p>
    <w:p w:rsidR="00832C6A" w:rsidRPr="002433AE" w:rsidRDefault="00832C6A" w:rsidP="00485DAA">
      <w:pPr>
        <w:suppressAutoHyphens/>
        <w:ind w:left="284" w:right="708"/>
        <w:jc w:val="both"/>
        <w:rPr>
          <w:sz w:val="22"/>
          <w:szCs w:val="22"/>
          <w:lang w:val="en-GB"/>
        </w:rPr>
      </w:pPr>
    </w:p>
    <w:p w:rsidR="00832C6A" w:rsidRPr="002433AE" w:rsidRDefault="00832C6A" w:rsidP="00485DAA">
      <w:pPr>
        <w:tabs>
          <w:tab w:val="right" w:pos="3600"/>
          <w:tab w:val="right" w:pos="4320"/>
          <w:tab w:val="right" w:pos="8640"/>
        </w:tabs>
        <w:suppressAutoHyphens/>
        <w:ind w:left="284" w:right="708"/>
        <w:jc w:val="both"/>
        <w:rPr>
          <w:sz w:val="22"/>
          <w:szCs w:val="22"/>
          <w:lang w:val="en-GB"/>
        </w:rPr>
      </w:pPr>
      <w:r w:rsidRPr="002433AE">
        <w:rPr>
          <w:sz w:val="22"/>
          <w:szCs w:val="22"/>
          <w:u w:val="single"/>
          <w:lang w:val="en-GB"/>
        </w:rPr>
        <w:tab/>
      </w:r>
      <w:r w:rsidRPr="002433AE">
        <w:rPr>
          <w:sz w:val="22"/>
          <w:szCs w:val="22"/>
          <w:lang w:val="en-GB"/>
        </w:rPr>
        <w:tab/>
      </w:r>
      <w:r w:rsidRPr="002433AE">
        <w:rPr>
          <w:sz w:val="22"/>
          <w:szCs w:val="22"/>
          <w:u w:val="single"/>
          <w:lang w:val="en-GB"/>
        </w:rPr>
        <w:tab/>
      </w:r>
    </w:p>
    <w:p w:rsidR="00832C6A" w:rsidRPr="002433AE" w:rsidRDefault="00832C6A" w:rsidP="00485DAA">
      <w:pPr>
        <w:tabs>
          <w:tab w:val="left" w:pos="4320"/>
        </w:tabs>
        <w:suppressAutoHyphens/>
        <w:ind w:left="284" w:right="708"/>
        <w:jc w:val="both"/>
        <w:rPr>
          <w:sz w:val="22"/>
          <w:szCs w:val="22"/>
        </w:rPr>
      </w:pPr>
      <w:r w:rsidRPr="002433AE">
        <w:rPr>
          <w:i/>
          <w:iCs/>
          <w:sz w:val="22"/>
          <w:szCs w:val="22"/>
          <w:lang w:val="uk-UA"/>
        </w:rPr>
        <w:t>[підпис]</w:t>
      </w:r>
      <w:r w:rsidRPr="002433AE">
        <w:rPr>
          <w:i/>
          <w:iCs/>
          <w:sz w:val="22"/>
          <w:szCs w:val="22"/>
          <w:lang w:val="uk-UA"/>
        </w:rPr>
        <w:tab/>
        <w:t>[що виступає у якості]</w:t>
      </w:r>
    </w:p>
    <w:p w:rsidR="00832C6A" w:rsidRPr="002433AE" w:rsidRDefault="00832C6A" w:rsidP="00485DAA">
      <w:pPr>
        <w:suppressAutoHyphens/>
        <w:ind w:left="284" w:right="708"/>
        <w:jc w:val="both"/>
        <w:rPr>
          <w:sz w:val="22"/>
          <w:szCs w:val="22"/>
        </w:rPr>
      </w:pPr>
    </w:p>
    <w:p w:rsidR="00832C6A" w:rsidRPr="002433AE" w:rsidRDefault="00832C6A" w:rsidP="00485DAA">
      <w:pPr>
        <w:tabs>
          <w:tab w:val="right" w:pos="8640"/>
        </w:tabs>
        <w:suppressAutoHyphens/>
        <w:ind w:left="284" w:right="708"/>
        <w:jc w:val="both"/>
        <w:rPr>
          <w:sz w:val="22"/>
          <w:szCs w:val="22"/>
          <w:lang w:val="uk-UA"/>
        </w:rPr>
      </w:pPr>
      <w:r w:rsidRPr="002433AE">
        <w:rPr>
          <w:sz w:val="22"/>
          <w:szCs w:val="22"/>
          <w:lang w:val="uk-UA"/>
        </w:rPr>
        <w:t xml:space="preserve">Що має належні повноваження на підписання Заявки від імені та за дорученням </w:t>
      </w:r>
    </w:p>
    <w:p w:rsidR="00832C6A" w:rsidRPr="002433AE" w:rsidRDefault="00832C6A" w:rsidP="00066313">
      <w:pPr>
        <w:pStyle w:val="1"/>
        <w:widowControl/>
        <w:spacing w:before="240" w:after="60" w:line="240" w:lineRule="auto"/>
        <w:ind w:right="708"/>
        <w:jc w:val="center"/>
        <w:rPr>
          <w:sz w:val="22"/>
          <w:szCs w:val="22"/>
        </w:rPr>
      </w:pPr>
    </w:p>
    <w:p w:rsidR="00832C6A" w:rsidRPr="002433AE" w:rsidRDefault="00832C6A" w:rsidP="00143F3A">
      <w:pPr>
        <w:spacing w:line="259" w:lineRule="auto"/>
        <w:rPr>
          <w:sz w:val="22"/>
          <w:szCs w:val="22"/>
        </w:rPr>
      </w:pPr>
      <w:r w:rsidRPr="002433AE">
        <w:br w:type="page"/>
      </w:r>
    </w:p>
    <w:p w:rsidR="00832C6A" w:rsidRPr="002433AE" w:rsidRDefault="00832C6A" w:rsidP="00143F3A">
      <w:pPr>
        <w:pStyle w:val="1"/>
        <w:widowControl/>
        <w:spacing w:after="60" w:line="240" w:lineRule="auto"/>
        <w:ind w:right="708"/>
        <w:jc w:val="center"/>
        <w:rPr>
          <w:sz w:val="22"/>
          <w:szCs w:val="22"/>
        </w:rPr>
      </w:pPr>
      <w:r w:rsidRPr="002433AE">
        <w:rPr>
          <w:sz w:val="22"/>
          <w:szCs w:val="22"/>
        </w:rPr>
        <w:lastRenderedPageBreak/>
        <w:t>Додаток 3 до Специфікації на надання послуг з  матеріально - технічного супроводу заходів за безготівковим розрахунком</w:t>
      </w:r>
    </w:p>
    <w:p w:rsidR="00832C6A" w:rsidRPr="002433AE" w:rsidRDefault="00832C6A" w:rsidP="00066313">
      <w:pPr>
        <w:rPr>
          <w:sz w:val="22"/>
          <w:szCs w:val="22"/>
        </w:rPr>
      </w:pPr>
    </w:p>
    <w:p w:rsidR="00832C6A" w:rsidRPr="002433AE" w:rsidRDefault="00832C6A" w:rsidP="00066313">
      <w:pPr>
        <w:rPr>
          <w:sz w:val="22"/>
          <w:szCs w:val="22"/>
        </w:rPr>
      </w:pPr>
    </w:p>
    <w:p w:rsidR="00832C6A" w:rsidRPr="002433AE" w:rsidRDefault="00832C6A" w:rsidP="00066313">
      <w:pPr>
        <w:rPr>
          <w:sz w:val="22"/>
          <w:szCs w:val="22"/>
        </w:rPr>
      </w:pPr>
    </w:p>
    <w:p w:rsidR="00832C6A" w:rsidRPr="002433AE" w:rsidRDefault="00832C6A" w:rsidP="00066313">
      <w:pPr>
        <w:tabs>
          <w:tab w:val="right" w:pos="8640"/>
        </w:tabs>
        <w:suppressAutoHyphens/>
        <w:ind w:right="708"/>
        <w:jc w:val="both"/>
        <w:rPr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4"/>
        <w:gridCol w:w="2887"/>
        <w:gridCol w:w="2329"/>
      </w:tblGrid>
      <w:tr w:rsidR="00832C6A" w:rsidRPr="002433AE" w:rsidTr="00444378">
        <w:trPr>
          <w:trHeight w:val="255"/>
        </w:trPr>
        <w:tc>
          <w:tcPr>
            <w:tcW w:w="4424" w:type="dxa"/>
            <w:shd w:val="clear" w:color="000000" w:fill="FFFFFF"/>
          </w:tcPr>
          <w:p w:rsidR="00832C6A" w:rsidRPr="002433AE" w:rsidRDefault="00832C6A" w:rsidP="0062323A">
            <w:pPr>
              <w:jc w:val="both"/>
              <w:rPr>
                <w:bCs/>
                <w:color w:val="000000"/>
                <w:lang w:val="uk-UA"/>
              </w:rPr>
            </w:pPr>
            <w:r w:rsidRPr="002433AE">
              <w:rPr>
                <w:bCs/>
                <w:color w:val="000000"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2887" w:type="dxa"/>
            <w:shd w:val="clear" w:color="000000" w:fill="FFFFFF"/>
          </w:tcPr>
          <w:p w:rsidR="00832C6A" w:rsidRPr="002433AE" w:rsidRDefault="00832C6A" w:rsidP="0062323A">
            <w:pPr>
              <w:jc w:val="both"/>
              <w:rPr>
                <w:color w:val="000000"/>
                <w:lang w:val="uk-UA"/>
              </w:rPr>
            </w:pPr>
            <w:r w:rsidRPr="002433AE">
              <w:rPr>
                <w:bCs/>
                <w:color w:val="000000"/>
                <w:sz w:val="22"/>
                <w:szCs w:val="22"/>
                <w:lang w:val="uk-UA"/>
              </w:rPr>
              <w:t xml:space="preserve">% або фіксована вартість, грн., без ПДВ (за спрощеною системою оподаткування, </w:t>
            </w:r>
            <w:r w:rsidRPr="009E001B">
              <w:rPr>
                <w:b/>
                <w:bCs/>
                <w:color w:val="000000"/>
                <w:sz w:val="22"/>
                <w:szCs w:val="22"/>
                <w:lang w:val="uk-UA"/>
              </w:rPr>
              <w:t>враховуючи єдиний податок</w:t>
            </w:r>
            <w:r w:rsidRPr="002433AE">
              <w:rPr>
                <w:bCs/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2329" w:type="dxa"/>
            <w:shd w:val="clear" w:color="000000" w:fill="FFFFFF"/>
          </w:tcPr>
          <w:p w:rsidR="00832C6A" w:rsidRPr="002433AE" w:rsidRDefault="00832C6A" w:rsidP="0062323A">
            <w:pPr>
              <w:jc w:val="both"/>
              <w:rPr>
                <w:color w:val="000000"/>
                <w:lang w:val="uk-UA"/>
              </w:rPr>
            </w:pPr>
            <w:r w:rsidRPr="002433AE">
              <w:rPr>
                <w:bCs/>
                <w:color w:val="000000"/>
                <w:sz w:val="22"/>
                <w:szCs w:val="22"/>
                <w:lang w:val="uk-UA"/>
              </w:rPr>
              <w:t>% або фіксована вартість, грн., з ПДВ</w:t>
            </w:r>
          </w:p>
        </w:tc>
      </w:tr>
      <w:tr w:rsidR="00832C6A" w:rsidRPr="00925857" w:rsidTr="00444378">
        <w:trPr>
          <w:trHeight w:val="270"/>
        </w:trPr>
        <w:tc>
          <w:tcPr>
            <w:tcW w:w="4424" w:type="dxa"/>
            <w:shd w:val="clear" w:color="000000" w:fill="FFFFFF"/>
          </w:tcPr>
          <w:p w:rsidR="00832C6A" w:rsidRPr="00925857" w:rsidRDefault="00832C6A" w:rsidP="0062323A">
            <w:pPr>
              <w:jc w:val="both"/>
              <w:rPr>
                <w:color w:val="000000"/>
                <w:lang w:val="uk-UA"/>
              </w:rPr>
            </w:pPr>
            <w:r w:rsidRPr="002433AE">
              <w:rPr>
                <w:bCs/>
                <w:color w:val="000000"/>
                <w:sz w:val="22"/>
                <w:szCs w:val="22"/>
                <w:lang w:val="uk-UA"/>
              </w:rPr>
              <w:t>Розмір винагороди за надання  послуг з комплексного матеріально-технічного супроводу заходів</w:t>
            </w:r>
          </w:p>
        </w:tc>
        <w:tc>
          <w:tcPr>
            <w:tcW w:w="2887" w:type="dxa"/>
            <w:shd w:val="clear" w:color="000000" w:fill="FFFFFF"/>
          </w:tcPr>
          <w:p w:rsidR="00832C6A" w:rsidRPr="00925857" w:rsidRDefault="00832C6A" w:rsidP="0062323A">
            <w:pPr>
              <w:jc w:val="both"/>
              <w:rPr>
                <w:color w:val="000000"/>
                <w:lang w:val="uk-UA"/>
              </w:rPr>
            </w:pPr>
            <w:r w:rsidRPr="00925857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329" w:type="dxa"/>
            <w:shd w:val="clear" w:color="000000" w:fill="FFFFFF"/>
          </w:tcPr>
          <w:p w:rsidR="00832C6A" w:rsidRPr="00925857" w:rsidRDefault="00832C6A" w:rsidP="0062323A">
            <w:pPr>
              <w:jc w:val="both"/>
              <w:rPr>
                <w:color w:val="000000"/>
                <w:lang w:val="uk-UA"/>
              </w:rPr>
            </w:pPr>
            <w:r w:rsidRPr="00925857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</w:tbl>
    <w:p w:rsidR="00832C6A" w:rsidRPr="00925857" w:rsidRDefault="00832C6A" w:rsidP="00066313">
      <w:pPr>
        <w:tabs>
          <w:tab w:val="right" w:pos="8640"/>
        </w:tabs>
        <w:suppressAutoHyphens/>
        <w:ind w:right="708"/>
        <w:jc w:val="both"/>
        <w:rPr>
          <w:sz w:val="22"/>
          <w:szCs w:val="22"/>
        </w:rPr>
      </w:pPr>
    </w:p>
    <w:p w:rsidR="00832C6A" w:rsidRPr="00925857" w:rsidRDefault="00832C6A" w:rsidP="00066313">
      <w:pPr>
        <w:pStyle w:val="a5"/>
        <w:ind w:left="1429"/>
        <w:jc w:val="both"/>
        <w:rPr>
          <w:rFonts w:ascii="Times New Roman" w:hAnsi="Times New Roman"/>
          <w:b/>
        </w:rPr>
      </w:pPr>
    </w:p>
    <w:p w:rsidR="00832C6A" w:rsidRPr="00925857" w:rsidRDefault="00832C6A">
      <w:pPr>
        <w:rPr>
          <w:sz w:val="22"/>
          <w:szCs w:val="22"/>
          <w:lang w:val="uk-UA"/>
        </w:rPr>
      </w:pPr>
    </w:p>
    <w:sectPr w:rsidR="00832C6A" w:rsidRPr="00925857" w:rsidSect="006E5073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768" w:rsidRDefault="00094768">
      <w:r>
        <w:separator/>
      </w:r>
    </w:p>
  </w:endnote>
  <w:endnote w:type="continuationSeparator" w:id="0">
    <w:p w:rsidR="00094768" w:rsidRDefault="0009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768" w:rsidRDefault="00094768">
      <w:r>
        <w:separator/>
      </w:r>
    </w:p>
  </w:footnote>
  <w:footnote w:type="continuationSeparator" w:id="0">
    <w:p w:rsidR="00094768" w:rsidRDefault="0009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A77"/>
    <w:multiLevelType w:val="hybridMultilevel"/>
    <w:tmpl w:val="15AE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824AA7"/>
    <w:multiLevelType w:val="multilevel"/>
    <w:tmpl w:val="3D203F78"/>
    <w:lvl w:ilvl="0"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</w:rPr>
    </w:lvl>
    <w:lvl w:ilvl="1">
      <w:start w:val="1"/>
      <w:numFmt w:val="decimal"/>
      <w:isLgl/>
      <w:lvlText w:val="%1.%2."/>
      <w:lvlJc w:val="left"/>
      <w:pPr>
        <w:ind w:left="321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9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01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3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81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6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98" w:hanging="2160"/>
      </w:pPr>
      <w:rPr>
        <w:rFonts w:cs="Times New Roman" w:hint="default"/>
      </w:rPr>
    </w:lvl>
  </w:abstractNum>
  <w:abstractNum w:abstractNumId="2" w15:restartNumberingAfterBreak="0">
    <w:nsid w:val="399554BE"/>
    <w:multiLevelType w:val="hybridMultilevel"/>
    <w:tmpl w:val="ED022DFC"/>
    <w:lvl w:ilvl="0" w:tplc="0422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40203C9E"/>
    <w:multiLevelType w:val="hybridMultilevel"/>
    <w:tmpl w:val="8A08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C43FAB"/>
    <w:multiLevelType w:val="multilevel"/>
    <w:tmpl w:val="156AC56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cs="Times New Roman" w:hint="default"/>
      </w:rPr>
    </w:lvl>
  </w:abstractNum>
  <w:abstractNum w:abstractNumId="5" w15:restartNumberingAfterBreak="0">
    <w:nsid w:val="48070A83"/>
    <w:multiLevelType w:val="hybridMultilevel"/>
    <w:tmpl w:val="C9E8608A"/>
    <w:lvl w:ilvl="0" w:tplc="041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5FD24190"/>
    <w:multiLevelType w:val="hybridMultilevel"/>
    <w:tmpl w:val="0B7605FE"/>
    <w:lvl w:ilvl="0" w:tplc="FFFFFFFF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70F23A53"/>
    <w:multiLevelType w:val="multilevel"/>
    <w:tmpl w:val="B27822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75B3127D"/>
    <w:multiLevelType w:val="hybridMultilevel"/>
    <w:tmpl w:val="039AA18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D">
      <w:start w:val="1"/>
      <w:numFmt w:val="bullet"/>
      <w:lvlText w:val="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22000D">
      <w:start w:val="1"/>
      <w:numFmt w:val="bullet"/>
      <w:lvlText w:val="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81"/>
    <w:rsid w:val="000042AE"/>
    <w:rsid w:val="000115AD"/>
    <w:rsid w:val="00027447"/>
    <w:rsid w:val="00050D95"/>
    <w:rsid w:val="000636C7"/>
    <w:rsid w:val="00066313"/>
    <w:rsid w:val="0007253C"/>
    <w:rsid w:val="000752F9"/>
    <w:rsid w:val="000763C4"/>
    <w:rsid w:val="00094768"/>
    <w:rsid w:val="000A0B1B"/>
    <w:rsid w:val="000A6671"/>
    <w:rsid w:val="000C69D4"/>
    <w:rsid w:val="000C7DA5"/>
    <w:rsid w:val="000D36CE"/>
    <w:rsid w:val="000D7DF1"/>
    <w:rsid w:val="000E3348"/>
    <w:rsid w:val="00100747"/>
    <w:rsid w:val="001321DD"/>
    <w:rsid w:val="00143063"/>
    <w:rsid w:val="00143F3A"/>
    <w:rsid w:val="0014412E"/>
    <w:rsid w:val="0017080E"/>
    <w:rsid w:val="00181D6B"/>
    <w:rsid w:val="00191699"/>
    <w:rsid w:val="00191E81"/>
    <w:rsid w:val="001A71CE"/>
    <w:rsid w:val="001B2F75"/>
    <w:rsid w:val="001D002E"/>
    <w:rsid w:val="001E54FF"/>
    <w:rsid w:val="001F015C"/>
    <w:rsid w:val="001F2F23"/>
    <w:rsid w:val="001F3568"/>
    <w:rsid w:val="00212C78"/>
    <w:rsid w:val="00242CAA"/>
    <w:rsid w:val="002433AE"/>
    <w:rsid w:val="00262F9C"/>
    <w:rsid w:val="002A0ED1"/>
    <w:rsid w:val="002A2071"/>
    <w:rsid w:val="002B206C"/>
    <w:rsid w:val="002C2257"/>
    <w:rsid w:val="002C39E9"/>
    <w:rsid w:val="002C4131"/>
    <w:rsid w:val="00311418"/>
    <w:rsid w:val="0032215B"/>
    <w:rsid w:val="00335DEC"/>
    <w:rsid w:val="003529BD"/>
    <w:rsid w:val="00360B85"/>
    <w:rsid w:val="00361277"/>
    <w:rsid w:val="0036388B"/>
    <w:rsid w:val="00394FF1"/>
    <w:rsid w:val="003A1CF2"/>
    <w:rsid w:val="003B7F5D"/>
    <w:rsid w:val="003C3850"/>
    <w:rsid w:val="003E530B"/>
    <w:rsid w:val="0040763B"/>
    <w:rsid w:val="00412025"/>
    <w:rsid w:val="004133FD"/>
    <w:rsid w:val="00413451"/>
    <w:rsid w:val="004230CA"/>
    <w:rsid w:val="004231A9"/>
    <w:rsid w:val="00423B31"/>
    <w:rsid w:val="004363B9"/>
    <w:rsid w:val="00444378"/>
    <w:rsid w:val="0044795B"/>
    <w:rsid w:val="00485DAA"/>
    <w:rsid w:val="004904FB"/>
    <w:rsid w:val="004D03B7"/>
    <w:rsid w:val="004D2E79"/>
    <w:rsid w:val="004E40C6"/>
    <w:rsid w:val="0060161C"/>
    <w:rsid w:val="006131BD"/>
    <w:rsid w:val="0061610E"/>
    <w:rsid w:val="0062323A"/>
    <w:rsid w:val="00626AA3"/>
    <w:rsid w:val="00630DF6"/>
    <w:rsid w:val="00632164"/>
    <w:rsid w:val="00653589"/>
    <w:rsid w:val="00666A18"/>
    <w:rsid w:val="006846E8"/>
    <w:rsid w:val="0068622A"/>
    <w:rsid w:val="006A7DCF"/>
    <w:rsid w:val="006B59A0"/>
    <w:rsid w:val="006D700F"/>
    <w:rsid w:val="006E5073"/>
    <w:rsid w:val="00715223"/>
    <w:rsid w:val="00732978"/>
    <w:rsid w:val="0075345C"/>
    <w:rsid w:val="00753D28"/>
    <w:rsid w:val="00757565"/>
    <w:rsid w:val="007D1574"/>
    <w:rsid w:val="007F7D1D"/>
    <w:rsid w:val="0083119E"/>
    <w:rsid w:val="00832C6A"/>
    <w:rsid w:val="00846CAD"/>
    <w:rsid w:val="008642C0"/>
    <w:rsid w:val="008679CC"/>
    <w:rsid w:val="00881571"/>
    <w:rsid w:val="008B50C8"/>
    <w:rsid w:val="008C391C"/>
    <w:rsid w:val="008C51A0"/>
    <w:rsid w:val="008E1691"/>
    <w:rsid w:val="008E20E4"/>
    <w:rsid w:val="008E7BFD"/>
    <w:rsid w:val="008F07B8"/>
    <w:rsid w:val="008F3B72"/>
    <w:rsid w:val="009200F1"/>
    <w:rsid w:val="00925857"/>
    <w:rsid w:val="009326D3"/>
    <w:rsid w:val="009351ED"/>
    <w:rsid w:val="00960936"/>
    <w:rsid w:val="0096252A"/>
    <w:rsid w:val="00966DA1"/>
    <w:rsid w:val="00970604"/>
    <w:rsid w:val="00972C97"/>
    <w:rsid w:val="009B62B3"/>
    <w:rsid w:val="009C7396"/>
    <w:rsid w:val="009D3330"/>
    <w:rsid w:val="009E001B"/>
    <w:rsid w:val="009E3726"/>
    <w:rsid w:val="009F63FF"/>
    <w:rsid w:val="00A1316B"/>
    <w:rsid w:val="00A461B5"/>
    <w:rsid w:val="00A65179"/>
    <w:rsid w:val="00A76159"/>
    <w:rsid w:val="00A7672B"/>
    <w:rsid w:val="00A77E32"/>
    <w:rsid w:val="00A84273"/>
    <w:rsid w:val="00AA0368"/>
    <w:rsid w:val="00AA4FD1"/>
    <w:rsid w:val="00AB5024"/>
    <w:rsid w:val="00AC67E0"/>
    <w:rsid w:val="00AD40ED"/>
    <w:rsid w:val="00AE2A81"/>
    <w:rsid w:val="00AE3D61"/>
    <w:rsid w:val="00AE5D89"/>
    <w:rsid w:val="00B10966"/>
    <w:rsid w:val="00B164D7"/>
    <w:rsid w:val="00B222B1"/>
    <w:rsid w:val="00B50D4A"/>
    <w:rsid w:val="00B52127"/>
    <w:rsid w:val="00B67DF1"/>
    <w:rsid w:val="00B74146"/>
    <w:rsid w:val="00B924D0"/>
    <w:rsid w:val="00B93859"/>
    <w:rsid w:val="00BA3ACA"/>
    <w:rsid w:val="00BA55BD"/>
    <w:rsid w:val="00BD4288"/>
    <w:rsid w:val="00BD5175"/>
    <w:rsid w:val="00BD7D38"/>
    <w:rsid w:val="00BE3C91"/>
    <w:rsid w:val="00C06E1D"/>
    <w:rsid w:val="00C36411"/>
    <w:rsid w:val="00CA30DD"/>
    <w:rsid w:val="00CC4B29"/>
    <w:rsid w:val="00CF5540"/>
    <w:rsid w:val="00D03487"/>
    <w:rsid w:val="00D23BBC"/>
    <w:rsid w:val="00D24CC3"/>
    <w:rsid w:val="00D67CCB"/>
    <w:rsid w:val="00D774BE"/>
    <w:rsid w:val="00D94FBB"/>
    <w:rsid w:val="00DC06FF"/>
    <w:rsid w:val="00DD1A4C"/>
    <w:rsid w:val="00E0735E"/>
    <w:rsid w:val="00E546A9"/>
    <w:rsid w:val="00E806E8"/>
    <w:rsid w:val="00E81160"/>
    <w:rsid w:val="00EB4E84"/>
    <w:rsid w:val="00EC55E7"/>
    <w:rsid w:val="00EC6924"/>
    <w:rsid w:val="00EE23E5"/>
    <w:rsid w:val="00EF04FE"/>
    <w:rsid w:val="00F166CD"/>
    <w:rsid w:val="00F355E0"/>
    <w:rsid w:val="00F52C1E"/>
    <w:rsid w:val="00F53459"/>
    <w:rsid w:val="00F539B6"/>
    <w:rsid w:val="00F65912"/>
    <w:rsid w:val="00F77688"/>
    <w:rsid w:val="00F82CA6"/>
    <w:rsid w:val="00F87E17"/>
    <w:rsid w:val="00FE2DB2"/>
    <w:rsid w:val="00FE31F2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CBDECF-DE55-4CDD-9746-B1B7E759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E8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6313"/>
    <w:pPr>
      <w:keepNext/>
      <w:widowControl w:val="0"/>
      <w:spacing w:line="240" w:lineRule="atLeast"/>
      <w:jc w:val="right"/>
      <w:outlineLvl w:val="0"/>
    </w:pPr>
    <w:rPr>
      <w:b/>
      <w:bCs/>
      <w:iCs/>
    </w:rPr>
  </w:style>
  <w:style w:type="paragraph" w:styleId="3">
    <w:name w:val="heading 3"/>
    <w:basedOn w:val="a"/>
    <w:next w:val="a"/>
    <w:link w:val="30"/>
    <w:uiPriority w:val="99"/>
    <w:qFormat/>
    <w:rsid w:val="00066313"/>
    <w:pPr>
      <w:keepNext/>
      <w:widowControl w:val="0"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066313"/>
    <w:pPr>
      <w:keepNext/>
      <w:widowControl w:val="0"/>
      <w:tabs>
        <w:tab w:val="left" w:pos="420"/>
      </w:tabs>
      <w:outlineLvl w:val="7"/>
    </w:pPr>
    <w:rPr>
      <w:b/>
      <w:bCs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66313"/>
    <w:pPr>
      <w:keepNext/>
      <w:widowControl w:val="0"/>
      <w:numPr>
        <w:numId w:val="2"/>
      </w:numPr>
      <w:tabs>
        <w:tab w:val="clear" w:pos="720"/>
      </w:tabs>
      <w:outlineLvl w:val="8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6313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066313"/>
    <w:rPr>
      <w:rFonts w:ascii="Cambria" w:hAnsi="Cambria" w:cs="Times New Roman"/>
      <w:b/>
      <w:sz w:val="26"/>
      <w:lang w:val="en-US"/>
    </w:rPr>
  </w:style>
  <w:style w:type="character" w:customStyle="1" w:styleId="80">
    <w:name w:val="Заголовок 8 Знак"/>
    <w:basedOn w:val="a0"/>
    <w:link w:val="8"/>
    <w:uiPriority w:val="99"/>
    <w:locked/>
    <w:rsid w:val="00066313"/>
    <w:rPr>
      <w:rFonts w:ascii="Times New Roman" w:hAnsi="Times New Roman" w:cs="Times New Roman"/>
      <w:b/>
      <w:i/>
      <w:sz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066313"/>
    <w:rPr>
      <w:rFonts w:ascii="Times New Roman" w:hAnsi="Times New Roman"/>
      <w:i/>
      <w:iCs/>
      <w:sz w:val="20"/>
      <w:szCs w:val="20"/>
    </w:rPr>
  </w:style>
  <w:style w:type="character" w:styleId="a3">
    <w:name w:val="Hyperlink"/>
    <w:basedOn w:val="a0"/>
    <w:uiPriority w:val="99"/>
    <w:rsid w:val="00191E8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191E81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191E81"/>
    <w:pPr>
      <w:ind w:left="720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uiPriority w:val="99"/>
    <w:rsid w:val="00191E81"/>
  </w:style>
  <w:style w:type="paragraph" w:styleId="a6">
    <w:name w:val="header"/>
    <w:basedOn w:val="a"/>
    <w:link w:val="a7"/>
    <w:uiPriority w:val="99"/>
    <w:rsid w:val="00191E8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91E81"/>
    <w:rPr>
      <w:rFonts w:ascii="Times New Roman" w:hAnsi="Times New Roman" w:cs="Times New Roman"/>
      <w:sz w:val="24"/>
      <w:lang w:val="ru-RU" w:eastAsia="ru-RU"/>
    </w:rPr>
  </w:style>
  <w:style w:type="paragraph" w:styleId="a8">
    <w:name w:val="Body Text"/>
    <w:basedOn w:val="a"/>
    <w:link w:val="a9"/>
    <w:uiPriority w:val="99"/>
    <w:rsid w:val="00066313"/>
    <w:pPr>
      <w:widowControl w:val="0"/>
    </w:pPr>
    <w:rPr>
      <w:rFonts w:ascii="Garamond" w:hAnsi="Garamond"/>
      <w:i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066313"/>
    <w:rPr>
      <w:rFonts w:ascii="Garamond" w:hAnsi="Garamond" w:cs="Times New Roman"/>
      <w:i/>
      <w:sz w:val="20"/>
      <w:lang w:val="en-US" w:eastAsia="ru-RU"/>
    </w:rPr>
  </w:style>
  <w:style w:type="paragraph" w:customStyle="1" w:styleId="PlainText1">
    <w:name w:val="Plain Text1"/>
    <w:basedOn w:val="a"/>
    <w:uiPriority w:val="99"/>
    <w:rsid w:val="00066313"/>
    <w:pPr>
      <w:widowControl w:val="0"/>
    </w:pPr>
    <w:rPr>
      <w:rFonts w:ascii="Courier New" w:eastAsia="Times New Roman" w:hAnsi="Courier New"/>
      <w:sz w:val="20"/>
      <w:szCs w:val="20"/>
      <w:lang w:val="en-GB"/>
    </w:rPr>
  </w:style>
  <w:style w:type="paragraph" w:customStyle="1" w:styleId="BodyText21">
    <w:name w:val="Body Text 21"/>
    <w:basedOn w:val="a"/>
    <w:uiPriority w:val="99"/>
    <w:rsid w:val="00066313"/>
    <w:pPr>
      <w:widowControl w:val="0"/>
      <w:jc w:val="both"/>
    </w:pPr>
    <w:rPr>
      <w:rFonts w:ascii="Arial" w:eastAsia="Times New Roman" w:hAnsi="Arial"/>
      <w:szCs w:val="20"/>
      <w:lang w:val="en-US"/>
    </w:rPr>
  </w:style>
  <w:style w:type="paragraph" w:styleId="aa">
    <w:name w:val="footer"/>
    <w:basedOn w:val="a"/>
    <w:link w:val="ab"/>
    <w:uiPriority w:val="99"/>
    <w:rsid w:val="00066313"/>
    <w:pPr>
      <w:widowControl w:val="0"/>
      <w:tabs>
        <w:tab w:val="center" w:pos="4153"/>
        <w:tab w:val="right" w:pos="8306"/>
      </w:tabs>
    </w:pPr>
    <w:rPr>
      <w:rFonts w:ascii="Garamond" w:hAnsi="Garamond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066313"/>
    <w:rPr>
      <w:rFonts w:ascii="Garamond" w:hAnsi="Garamond" w:cs="Times New Roman"/>
      <w:sz w:val="20"/>
      <w:lang w:val="en-US"/>
    </w:rPr>
  </w:style>
  <w:style w:type="character" w:customStyle="1" w:styleId="iiianoaieou">
    <w:name w:val="iiia? no?aieou"/>
    <w:uiPriority w:val="99"/>
    <w:rsid w:val="00066313"/>
    <w:rPr>
      <w:sz w:val="20"/>
    </w:rPr>
  </w:style>
  <w:style w:type="character" w:customStyle="1" w:styleId="ciaeieiaaiey">
    <w:name w:val="ciae i?eia?aiey"/>
    <w:uiPriority w:val="99"/>
    <w:rsid w:val="00066313"/>
    <w:rPr>
      <w:sz w:val="16"/>
    </w:rPr>
  </w:style>
  <w:style w:type="paragraph" w:customStyle="1" w:styleId="oaenoieiaaiey">
    <w:name w:val="oaeno i?eia?aiey"/>
    <w:basedOn w:val="a"/>
    <w:uiPriority w:val="99"/>
    <w:rsid w:val="00066313"/>
    <w:pPr>
      <w:widowControl w:val="0"/>
    </w:pPr>
    <w:rPr>
      <w:rFonts w:ascii="Garamond" w:eastAsia="Times New Roman" w:hAnsi="Garamond"/>
      <w:sz w:val="20"/>
      <w:szCs w:val="20"/>
      <w:lang w:val="en-US"/>
    </w:rPr>
  </w:style>
  <w:style w:type="paragraph" w:customStyle="1" w:styleId="BodyText31">
    <w:name w:val="Body Text 31"/>
    <w:basedOn w:val="a"/>
    <w:uiPriority w:val="99"/>
    <w:rsid w:val="00066313"/>
    <w:pPr>
      <w:widowControl w:val="0"/>
      <w:jc w:val="both"/>
    </w:pPr>
    <w:rPr>
      <w:rFonts w:ascii="Garamond" w:eastAsia="Times New Roman" w:hAnsi="Garamond"/>
      <w:i/>
      <w:szCs w:val="20"/>
      <w:lang w:val="en-US"/>
    </w:rPr>
  </w:style>
  <w:style w:type="paragraph" w:styleId="2">
    <w:name w:val="Body Text 2"/>
    <w:basedOn w:val="a"/>
    <w:link w:val="20"/>
    <w:uiPriority w:val="99"/>
    <w:rsid w:val="00066313"/>
    <w:pPr>
      <w:widowControl w:val="0"/>
    </w:pPr>
    <w:rPr>
      <w:b/>
      <w:bCs/>
      <w:i/>
      <w:iCs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066313"/>
    <w:rPr>
      <w:rFonts w:ascii="Times New Roman" w:hAnsi="Times New Roman" w:cs="Times New Roman"/>
      <w:b/>
      <w:i/>
      <w:sz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rsid w:val="00066313"/>
    <w:pPr>
      <w:widowControl w:val="0"/>
    </w:pPr>
    <w:rPr>
      <w:rFonts w:ascii="Tahoma" w:hAnsi="Tahoma"/>
      <w:sz w:val="16"/>
      <w:szCs w:val="16"/>
      <w:lang w:val="en-US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66313"/>
    <w:rPr>
      <w:rFonts w:ascii="Tahoma" w:hAnsi="Tahoma" w:cs="Times New Roman"/>
      <w:sz w:val="16"/>
      <w:lang w:val="en-US" w:eastAsia="ru-RU"/>
    </w:rPr>
  </w:style>
  <w:style w:type="paragraph" w:styleId="ae">
    <w:name w:val="Body Text Indent"/>
    <w:basedOn w:val="a"/>
    <w:link w:val="af"/>
    <w:uiPriority w:val="99"/>
    <w:rsid w:val="00066313"/>
    <w:pPr>
      <w:ind w:firstLine="708"/>
      <w:jc w:val="both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066313"/>
    <w:rPr>
      <w:rFonts w:ascii="Times New Roman" w:hAnsi="Times New Roman" w:cs="Times New Roman"/>
      <w:sz w:val="24"/>
      <w:lang w:eastAsia="ru-RU"/>
    </w:rPr>
  </w:style>
  <w:style w:type="paragraph" w:styleId="af0">
    <w:name w:val="Document Map"/>
    <w:basedOn w:val="a"/>
    <w:link w:val="af1"/>
    <w:uiPriority w:val="99"/>
    <w:semiHidden/>
    <w:rsid w:val="00066313"/>
    <w:pPr>
      <w:widowControl w:val="0"/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066313"/>
    <w:rPr>
      <w:rFonts w:ascii="Tahoma" w:hAnsi="Tahoma" w:cs="Times New Roman"/>
      <w:sz w:val="20"/>
      <w:shd w:val="clear" w:color="auto" w:fill="000080"/>
      <w:lang w:val="en-US" w:eastAsia="ru-RU"/>
    </w:rPr>
  </w:style>
  <w:style w:type="table" w:styleId="af2">
    <w:name w:val="Table Grid"/>
    <w:basedOn w:val="a1"/>
    <w:uiPriority w:val="99"/>
    <w:rsid w:val="00066313"/>
    <w:pPr>
      <w:widowControl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99"/>
    <w:qFormat/>
    <w:rsid w:val="00066313"/>
    <w:rPr>
      <w:rFonts w:ascii="Arial Black" w:hAnsi="Arial Black" w:cs="Times New Roman"/>
      <w:sz w:val="18"/>
    </w:rPr>
  </w:style>
  <w:style w:type="paragraph" w:styleId="af4">
    <w:name w:val="Message Header"/>
    <w:basedOn w:val="a8"/>
    <w:link w:val="af5"/>
    <w:uiPriority w:val="99"/>
    <w:rsid w:val="00066313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i w:val="0"/>
      <w:spacing w:val="-5"/>
    </w:rPr>
  </w:style>
  <w:style w:type="character" w:customStyle="1" w:styleId="af5">
    <w:name w:val="Шапка Знак"/>
    <w:basedOn w:val="a0"/>
    <w:link w:val="af4"/>
    <w:uiPriority w:val="99"/>
    <w:locked/>
    <w:rsid w:val="00066313"/>
    <w:rPr>
      <w:rFonts w:ascii="Arial" w:hAnsi="Arial" w:cs="Times New Roman"/>
      <w:spacing w:val="-5"/>
      <w:sz w:val="20"/>
      <w:lang w:val="en-US"/>
    </w:rPr>
  </w:style>
  <w:style w:type="paragraph" w:customStyle="1" w:styleId="MessageHeaderFirst">
    <w:name w:val="Message Header First"/>
    <w:basedOn w:val="af4"/>
    <w:next w:val="af4"/>
    <w:uiPriority w:val="99"/>
    <w:rsid w:val="00066313"/>
  </w:style>
  <w:style w:type="character" w:customStyle="1" w:styleId="MessageHeaderLabel">
    <w:name w:val="Message Header Label"/>
    <w:uiPriority w:val="99"/>
    <w:rsid w:val="00066313"/>
    <w:rPr>
      <w:rFonts w:ascii="Arial Black" w:hAnsi="Arial Black"/>
      <w:sz w:val="18"/>
    </w:rPr>
  </w:style>
  <w:style w:type="paragraph" w:customStyle="1" w:styleId="MessageHeaderLast">
    <w:name w:val="Message Header Last"/>
    <w:basedOn w:val="af4"/>
    <w:next w:val="a8"/>
    <w:uiPriority w:val="99"/>
    <w:rsid w:val="00066313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customStyle="1" w:styleId="opis">
    <w:name w:val="opis"/>
    <w:uiPriority w:val="99"/>
    <w:rsid w:val="00066313"/>
  </w:style>
  <w:style w:type="character" w:customStyle="1" w:styleId="hps">
    <w:name w:val="hps"/>
    <w:uiPriority w:val="99"/>
    <w:rsid w:val="00066313"/>
  </w:style>
  <w:style w:type="character" w:styleId="af6">
    <w:name w:val="annotation reference"/>
    <w:basedOn w:val="a0"/>
    <w:uiPriority w:val="99"/>
    <w:rsid w:val="00066313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rsid w:val="00066313"/>
    <w:pPr>
      <w:widowControl w:val="0"/>
    </w:pPr>
    <w:rPr>
      <w:rFonts w:ascii="Garamond" w:hAnsi="Garamond"/>
      <w:sz w:val="20"/>
      <w:szCs w:val="20"/>
      <w:lang w:val="en-US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066313"/>
    <w:rPr>
      <w:rFonts w:ascii="Garamond" w:hAnsi="Garamond" w:cs="Times New Roman"/>
      <w:sz w:val="20"/>
      <w:lang w:val="en-US"/>
    </w:rPr>
  </w:style>
  <w:style w:type="paragraph" w:styleId="af9">
    <w:name w:val="annotation subject"/>
    <w:basedOn w:val="af7"/>
    <w:next w:val="af7"/>
    <w:link w:val="afa"/>
    <w:uiPriority w:val="99"/>
    <w:rsid w:val="0006631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066313"/>
    <w:rPr>
      <w:rFonts w:ascii="Garamond" w:hAnsi="Garamond" w:cs="Times New Roman"/>
      <w:b/>
      <w:sz w:val="20"/>
      <w:lang w:val="en-US"/>
    </w:rPr>
  </w:style>
  <w:style w:type="paragraph" w:styleId="afb">
    <w:name w:val="footnote text"/>
    <w:basedOn w:val="a"/>
    <w:link w:val="afc"/>
    <w:uiPriority w:val="99"/>
    <w:rsid w:val="00066313"/>
    <w:pPr>
      <w:widowControl w:val="0"/>
    </w:pPr>
    <w:rPr>
      <w:rFonts w:ascii="Garamond" w:hAnsi="Garamond"/>
      <w:sz w:val="20"/>
      <w:szCs w:val="20"/>
      <w:lang w:val="en-US"/>
    </w:rPr>
  </w:style>
  <w:style w:type="character" w:customStyle="1" w:styleId="afc">
    <w:name w:val="Текст сноски Знак"/>
    <w:basedOn w:val="a0"/>
    <w:link w:val="afb"/>
    <w:uiPriority w:val="99"/>
    <w:locked/>
    <w:rsid w:val="00066313"/>
    <w:rPr>
      <w:rFonts w:ascii="Garamond" w:hAnsi="Garamond" w:cs="Times New Roman"/>
      <w:sz w:val="20"/>
      <w:lang w:val="en-US"/>
    </w:rPr>
  </w:style>
  <w:style w:type="character" w:styleId="afd">
    <w:name w:val="footnote reference"/>
    <w:basedOn w:val="a0"/>
    <w:uiPriority w:val="99"/>
    <w:rsid w:val="00066313"/>
    <w:rPr>
      <w:rFonts w:cs="Times New Roman"/>
      <w:vertAlign w:val="superscript"/>
    </w:rPr>
  </w:style>
  <w:style w:type="character" w:styleId="afe">
    <w:name w:val="FollowedHyperlink"/>
    <w:basedOn w:val="a0"/>
    <w:uiPriority w:val="99"/>
    <w:semiHidden/>
    <w:locked/>
    <w:rsid w:val="001E54F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ector.med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elin.t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Kukhar</dc:creator>
  <cp:keywords/>
  <dc:description/>
  <cp:lastModifiedBy>Юлия Зелинская</cp:lastModifiedBy>
  <cp:revision>8</cp:revision>
  <dcterms:created xsi:type="dcterms:W3CDTF">2020-02-12T16:50:00Z</dcterms:created>
  <dcterms:modified xsi:type="dcterms:W3CDTF">2020-10-22T13:13:00Z</dcterms:modified>
</cp:coreProperties>
</file>